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DB" w:rsidRPr="00837B08" w:rsidRDefault="00800EDB" w:rsidP="00455CFF">
      <w:pPr>
        <w:spacing w:line="480" w:lineRule="auto"/>
        <w:ind w:firstLine="720"/>
        <w:jc w:val="center"/>
        <w:rPr>
          <w:rFonts w:eastAsiaTheme="minorHAnsi" w:cs="Helvetica"/>
          <w:b/>
          <w:color w:val="505153"/>
          <w:szCs w:val="21"/>
        </w:rPr>
      </w:pPr>
      <w:r w:rsidRPr="00837B08">
        <w:rPr>
          <w:rFonts w:eastAsiaTheme="minorHAnsi" w:cs="Helvetica"/>
          <w:b/>
          <w:color w:val="505153"/>
          <w:szCs w:val="21"/>
        </w:rPr>
        <w:t xml:space="preserve">The One and the Many: </w:t>
      </w:r>
      <w:r w:rsidRPr="00837B08">
        <w:rPr>
          <w:rFonts w:eastAsiaTheme="minorHAnsi" w:cs="Helvetica"/>
          <w:b/>
          <w:i/>
          <w:color w:val="505153"/>
          <w:szCs w:val="21"/>
        </w:rPr>
        <w:t xml:space="preserve">The Old </w:t>
      </w:r>
      <w:proofErr w:type="spellStart"/>
      <w:r w:rsidRPr="00837B08">
        <w:rPr>
          <w:rFonts w:eastAsiaTheme="minorHAnsi" w:cs="Helvetica"/>
          <w:b/>
          <w:i/>
          <w:color w:val="505153"/>
          <w:szCs w:val="21"/>
        </w:rPr>
        <w:t>Mam’selle’s</w:t>
      </w:r>
      <w:proofErr w:type="spellEnd"/>
      <w:r w:rsidRPr="00837B08">
        <w:rPr>
          <w:rFonts w:eastAsiaTheme="minorHAnsi" w:cs="Helvetica"/>
          <w:b/>
          <w:i/>
          <w:color w:val="505153"/>
          <w:szCs w:val="21"/>
        </w:rPr>
        <w:t xml:space="preserve"> Secret</w:t>
      </w:r>
      <w:r w:rsidRPr="00837B08">
        <w:rPr>
          <w:rFonts w:eastAsiaTheme="minorHAnsi" w:cs="Helvetica"/>
          <w:b/>
          <w:color w:val="505153"/>
          <w:szCs w:val="21"/>
        </w:rPr>
        <w:t xml:space="preserve"> and the American Traffic in German Fiction (1868-1917)</w:t>
      </w:r>
    </w:p>
    <w:p w:rsidR="00800EDB" w:rsidRPr="00800EDB" w:rsidRDefault="00800EDB" w:rsidP="00800EDB">
      <w:pPr>
        <w:ind w:firstLine="720"/>
        <w:jc w:val="center"/>
      </w:pPr>
    </w:p>
    <w:p w:rsidR="004E27D2" w:rsidRDefault="000E19BB" w:rsidP="004A4141">
      <w:pPr>
        <w:spacing w:line="480" w:lineRule="auto"/>
        <w:ind w:firstLine="720"/>
      </w:pPr>
      <w:r>
        <w:t xml:space="preserve">In 1901, </w:t>
      </w:r>
      <w:r w:rsidR="004B3B53">
        <w:t>Edi</w:t>
      </w:r>
      <w:r>
        <w:t>th Wyatt’s “A Matter of Taste” offered a snapshot of</w:t>
      </w:r>
      <w:r w:rsidR="001A1532">
        <w:t xml:space="preserve"> </w:t>
      </w:r>
      <w:r w:rsidR="006B5E98">
        <w:t>American</w:t>
      </w:r>
      <w:r w:rsidR="001A1532">
        <w:t xml:space="preserve"> reading predilections</w:t>
      </w:r>
      <w:r w:rsidR="006B5E98">
        <w:t xml:space="preserve"> </w:t>
      </w:r>
      <w:r>
        <w:t xml:space="preserve">by means of the book that stands at the center of my investigation of the one and the many. </w:t>
      </w:r>
      <w:r w:rsidR="0018039B">
        <w:t>Here</w:t>
      </w:r>
      <w:r w:rsidR="001022A0">
        <w:t>,</w:t>
      </w:r>
      <w:r w:rsidR="00940863">
        <w:t xml:space="preserve"> an An</w:t>
      </w:r>
      <w:r>
        <w:t>glo-American brother and sister</w:t>
      </w:r>
      <w:r w:rsidR="00D504D1">
        <w:t xml:space="preserve"> view one another’s </w:t>
      </w:r>
      <w:r w:rsidR="00940863">
        <w:t>reading</w:t>
      </w:r>
      <w:r w:rsidR="00D504D1">
        <w:t xml:space="preserve"> predilections</w:t>
      </w:r>
      <w:r w:rsidR="00940863">
        <w:t xml:space="preserve"> with incomprehensi</w:t>
      </w:r>
      <w:r w:rsidR="00AD773C">
        <w:t>on. The pretentious Henry</w:t>
      </w:r>
      <w:r w:rsidR="00940863">
        <w:t xml:space="preserve"> reads foreign literature abou</w:t>
      </w:r>
      <w:r w:rsidR="001022A0">
        <w:t xml:space="preserve">t the Italian Renaissance </w:t>
      </w:r>
      <w:r w:rsidR="00940863">
        <w:t>to his bored sister</w:t>
      </w:r>
      <w:r w:rsidR="00BA1242">
        <w:t>,</w:t>
      </w:r>
      <w:r w:rsidR="00940863">
        <w:t xml:space="preserve"> Elsie. Elsi</w:t>
      </w:r>
      <w:r w:rsidR="002A5874">
        <w:t xml:space="preserve">e, who, the narrator notes with a thrust at the snobbish Henry, </w:t>
      </w:r>
      <w:r w:rsidR="00940863">
        <w:t>“had no Standard,” longs instead for</w:t>
      </w:r>
      <w:r w:rsidR="00BA1242">
        <w:t xml:space="preserve"> </w:t>
      </w:r>
      <w:r w:rsidR="004A4141">
        <w:t xml:space="preserve">the pleasures of reading </w:t>
      </w:r>
      <w:proofErr w:type="spellStart"/>
      <w:r w:rsidR="00BA1242">
        <w:t>Marlitt’s</w:t>
      </w:r>
      <w:proofErr w:type="spellEnd"/>
      <w:r w:rsidR="00940863">
        <w:t xml:space="preserve"> </w:t>
      </w:r>
      <w:r w:rsidR="00940863">
        <w:rPr>
          <w:i/>
        </w:rPr>
        <w:t xml:space="preserve">The Old </w:t>
      </w:r>
      <w:proofErr w:type="spellStart"/>
      <w:r w:rsidR="00940863">
        <w:rPr>
          <w:i/>
        </w:rPr>
        <w:t>Mam’selle’s</w:t>
      </w:r>
      <w:proofErr w:type="spellEnd"/>
      <w:r w:rsidR="00940863">
        <w:rPr>
          <w:i/>
        </w:rPr>
        <w:t xml:space="preserve"> Secret</w:t>
      </w:r>
      <w:r w:rsidR="00940863">
        <w:t>.</w:t>
      </w:r>
      <w:r w:rsidR="00940863">
        <w:rPr>
          <w:rStyle w:val="EndnoteReference"/>
        </w:rPr>
        <w:endnoteReference w:id="-1"/>
      </w:r>
      <w:r w:rsidR="00940863">
        <w:t xml:space="preserve"> In her preference for </w:t>
      </w:r>
      <w:proofErr w:type="spellStart"/>
      <w:r w:rsidR="00940863">
        <w:t>Marlitt</w:t>
      </w:r>
      <w:proofErr w:type="spellEnd"/>
      <w:r w:rsidR="00940863">
        <w:t xml:space="preserve">, Elsie shares the taste of </w:t>
      </w:r>
      <w:r w:rsidR="00D504D1">
        <w:t xml:space="preserve">her </w:t>
      </w:r>
      <w:r w:rsidR="004A4141">
        <w:t>German</w:t>
      </w:r>
      <w:r w:rsidR="00D504D1">
        <w:t>-immigrant</w:t>
      </w:r>
      <w:r w:rsidR="004A4141">
        <w:t xml:space="preserve"> friend</w:t>
      </w:r>
      <w:r w:rsidR="00D504D1">
        <w:t>,</w:t>
      </w:r>
      <w:r w:rsidR="000C787F">
        <w:t xml:space="preserve"> </w:t>
      </w:r>
      <w:proofErr w:type="spellStart"/>
      <w:r w:rsidR="002407A7">
        <w:t>Ottilie</w:t>
      </w:r>
      <w:proofErr w:type="spellEnd"/>
      <w:r w:rsidR="00D504D1">
        <w:t xml:space="preserve"> </w:t>
      </w:r>
      <w:proofErr w:type="spellStart"/>
      <w:r w:rsidR="00D504D1">
        <w:t>Bhaer</w:t>
      </w:r>
      <w:proofErr w:type="spellEnd"/>
      <w:r w:rsidR="00D504D1">
        <w:t>,</w:t>
      </w:r>
      <w:r w:rsidR="002407A7">
        <w:t xml:space="preserve"> </w:t>
      </w:r>
      <w:r w:rsidR="00940863">
        <w:t xml:space="preserve">who is reading </w:t>
      </w:r>
      <w:proofErr w:type="spellStart"/>
      <w:r w:rsidR="00940863">
        <w:t>Marlitt</w:t>
      </w:r>
      <w:r w:rsidR="002407A7">
        <w:t>’s</w:t>
      </w:r>
      <w:proofErr w:type="spellEnd"/>
      <w:r w:rsidR="002407A7">
        <w:t xml:space="preserve"> novel in the original German;</w:t>
      </w:r>
      <w:r w:rsidR="00940863">
        <w:t xml:space="preserve"> </w:t>
      </w:r>
      <w:proofErr w:type="spellStart"/>
      <w:r w:rsidR="00940863">
        <w:t>Ottilie</w:t>
      </w:r>
      <w:proofErr w:type="spellEnd"/>
      <w:r w:rsidR="00940863">
        <w:t xml:space="preserve"> too has no</w:t>
      </w:r>
      <w:r w:rsidR="002407A7">
        <w:t xml:space="preserve"> Standard. </w:t>
      </w:r>
      <w:r w:rsidR="00D504D1">
        <w:t>In the end, t</w:t>
      </w:r>
      <w:r w:rsidR="0087554D">
        <w:t xml:space="preserve">he siblings </w:t>
      </w:r>
      <w:r w:rsidR="005A564E">
        <w:t>resign</w:t>
      </w:r>
      <w:r w:rsidR="00940863">
        <w:t xml:space="preserve"> themse</w:t>
      </w:r>
      <w:r w:rsidR="002407A7">
        <w:t>lves to their differences recogniz</w:t>
      </w:r>
      <w:r w:rsidR="00940863">
        <w:t>ing that “in a various world every one has need of a great deal of patience.”</w:t>
      </w:r>
      <w:r w:rsidR="00940863">
        <w:rPr>
          <w:rStyle w:val="EndnoteReference"/>
        </w:rPr>
        <w:endnoteReference w:id="0"/>
      </w:r>
      <w:r w:rsidR="00940863">
        <w:t xml:space="preserve"> </w:t>
      </w:r>
    </w:p>
    <w:p w:rsidR="00645E2C" w:rsidRDefault="000E19BB" w:rsidP="00055601">
      <w:pPr>
        <w:spacing w:line="480" w:lineRule="auto"/>
        <w:ind w:firstLine="720"/>
      </w:pPr>
      <w:r>
        <w:t>To paint this</w:t>
      </w:r>
      <w:r w:rsidR="00361BB7">
        <w:t xml:space="preserve"> gentle portrait </w:t>
      </w:r>
      <w:r w:rsidR="001022A0">
        <w:t xml:space="preserve">of </w:t>
      </w:r>
      <w:r w:rsidR="00A94F80">
        <w:t>the divergence</w:t>
      </w:r>
      <w:r w:rsidR="00361BB7">
        <w:t xml:space="preserve"> between American women</w:t>
      </w:r>
      <w:r w:rsidR="00AD773C">
        <w:t>’s</w:t>
      </w:r>
      <w:r w:rsidR="00361BB7">
        <w:t xml:space="preserve"> a</w:t>
      </w:r>
      <w:r w:rsidR="00057CF9">
        <w:t>nd men’s reading</w:t>
      </w:r>
      <w:r w:rsidR="004E27D2">
        <w:t xml:space="preserve">, on the one hand, and </w:t>
      </w:r>
      <w:r w:rsidR="001022A0">
        <w:t>the affinity between Ame</w:t>
      </w:r>
      <w:r w:rsidR="00AD773C">
        <w:t>rican and German women’s taste</w:t>
      </w:r>
      <w:r w:rsidR="00057CF9">
        <w:t xml:space="preserve">, </w:t>
      </w:r>
      <w:r w:rsidR="004E27D2">
        <w:t>on the other,</w:t>
      </w:r>
      <w:r w:rsidR="001D4662">
        <w:t xml:space="preserve"> </w:t>
      </w:r>
      <w:r w:rsidR="00057CF9">
        <w:t>Wyatt</w:t>
      </w:r>
      <w:r w:rsidR="006B5E98">
        <w:t xml:space="preserve"> </w:t>
      </w:r>
      <w:r w:rsidR="0087554D">
        <w:t xml:space="preserve">presciently </w:t>
      </w:r>
      <w:r w:rsidR="006B5E98">
        <w:t xml:space="preserve">invoked </w:t>
      </w:r>
      <w:r w:rsidR="0087554D">
        <w:t xml:space="preserve">what was to be </w:t>
      </w:r>
      <w:r w:rsidR="006C08BF">
        <w:t xml:space="preserve">the longest-enduring example of </w:t>
      </w:r>
      <w:r w:rsidR="004A4141">
        <w:t xml:space="preserve">nineteenth-century </w:t>
      </w:r>
      <w:r w:rsidR="006C08BF">
        <w:t>German domestic fiction</w:t>
      </w:r>
      <w:r w:rsidR="00361BB7">
        <w:t xml:space="preserve"> in Amer</w:t>
      </w:r>
      <w:r w:rsidR="006C08BF">
        <w:t>ican translation. First render</w:t>
      </w:r>
      <w:r w:rsidR="00361BB7">
        <w:t xml:space="preserve">ed in America in1868, </w:t>
      </w:r>
      <w:r w:rsidR="00361BB7" w:rsidRPr="00057CF9">
        <w:rPr>
          <w:i/>
        </w:rPr>
        <w:t xml:space="preserve">The Old </w:t>
      </w:r>
      <w:proofErr w:type="spellStart"/>
      <w:r w:rsidR="00361BB7" w:rsidRPr="00057CF9">
        <w:rPr>
          <w:i/>
        </w:rPr>
        <w:t>Mam’selle’s</w:t>
      </w:r>
      <w:proofErr w:type="spellEnd"/>
      <w:r w:rsidR="00361BB7" w:rsidRPr="00057CF9">
        <w:rPr>
          <w:i/>
        </w:rPr>
        <w:t xml:space="preserve"> Secret </w:t>
      </w:r>
      <w:r w:rsidR="004307DB">
        <w:t xml:space="preserve">helped to open the American book market to </w:t>
      </w:r>
      <w:r w:rsidR="00361BB7">
        <w:t>a raft of translation</w:t>
      </w:r>
      <w:r w:rsidR="00693F5C">
        <w:t>s</w:t>
      </w:r>
      <w:r w:rsidR="00361BB7">
        <w:t xml:space="preserve"> of German domestic fiction</w:t>
      </w:r>
      <w:r w:rsidR="00D504D1">
        <w:t xml:space="preserve"> in the 1870s, 80s and 90s, fiction, translations that</w:t>
      </w:r>
      <w:r w:rsidR="000926CB">
        <w:t>,</w:t>
      </w:r>
      <w:r w:rsidR="00C70CAD">
        <w:t xml:space="preserve"> </w:t>
      </w:r>
      <w:r w:rsidR="000926CB">
        <w:t xml:space="preserve">in the absence of international copyright, </w:t>
      </w:r>
      <w:r w:rsidR="00C70CAD">
        <w:t xml:space="preserve">proliferated </w:t>
      </w:r>
      <w:r w:rsidR="00D504D1">
        <w:t>and circulated in</w:t>
      </w:r>
      <w:r w:rsidR="00125228">
        <w:t xml:space="preserve"> multiple editions and</w:t>
      </w:r>
      <w:r w:rsidR="00D504D1">
        <w:t xml:space="preserve"> reprint editions </w:t>
      </w:r>
      <w:r w:rsidR="00A94F80">
        <w:t xml:space="preserve">over the </w:t>
      </w:r>
      <w:r w:rsidR="00D504D1">
        <w:t>following forty</w:t>
      </w:r>
      <w:r w:rsidR="00A94F80">
        <w:t xml:space="preserve"> years</w:t>
      </w:r>
      <w:r w:rsidR="00D504D1">
        <w:t xml:space="preserve">. </w:t>
      </w:r>
      <w:r w:rsidR="00A94F80">
        <w:t>While of</w:t>
      </w:r>
      <w:r w:rsidR="0044773E">
        <w:t xml:space="preserve"> all the German domestic fiction translated in post</w:t>
      </w:r>
      <w:r w:rsidR="009D6911">
        <w:t>-</w:t>
      </w:r>
      <w:r w:rsidR="002407A7">
        <w:t xml:space="preserve">bellum America, </w:t>
      </w:r>
      <w:r w:rsidR="00D504D1">
        <w:rPr>
          <w:i/>
        </w:rPr>
        <w:t xml:space="preserve">The Old </w:t>
      </w:r>
      <w:proofErr w:type="spellStart"/>
      <w:r w:rsidR="00D504D1">
        <w:rPr>
          <w:i/>
        </w:rPr>
        <w:t>Mam’selle’s</w:t>
      </w:r>
      <w:proofErr w:type="spellEnd"/>
      <w:r w:rsidR="00D504D1">
        <w:rPr>
          <w:i/>
        </w:rPr>
        <w:t xml:space="preserve"> S</w:t>
      </w:r>
      <w:r w:rsidR="002407A7" w:rsidRPr="002407A7">
        <w:rPr>
          <w:i/>
        </w:rPr>
        <w:t>ecret</w:t>
      </w:r>
      <w:r w:rsidR="00C36C71">
        <w:t xml:space="preserve"> </w:t>
      </w:r>
      <w:r w:rsidR="0087554D">
        <w:t>achieved the most secure (though in the end ephemeral)</w:t>
      </w:r>
      <w:r w:rsidR="00F23B26">
        <w:t xml:space="preserve"> status as</w:t>
      </w:r>
      <w:r w:rsidR="005D6B9E">
        <w:t xml:space="preserve"> </w:t>
      </w:r>
      <w:r w:rsidR="001D4662">
        <w:t>belonging to the</w:t>
      </w:r>
      <w:r w:rsidR="00F23B26">
        <w:t xml:space="preserve"> “world’s great literature</w:t>
      </w:r>
      <w:r w:rsidR="00A94F80">
        <w:t>,</w:t>
      </w:r>
      <w:r w:rsidR="006C08BF">
        <w:t>”</w:t>
      </w:r>
      <w:r w:rsidR="00F23B26">
        <w:rPr>
          <w:rStyle w:val="EndnoteReference"/>
        </w:rPr>
        <w:endnoteReference w:id="1"/>
      </w:r>
      <w:r w:rsidR="006C08BF">
        <w:t xml:space="preserve"> </w:t>
      </w:r>
      <w:r w:rsidR="000926CB">
        <w:t>i</w:t>
      </w:r>
      <w:r w:rsidR="006C08BF">
        <w:t xml:space="preserve">ts individual story </w:t>
      </w:r>
      <w:r w:rsidR="00065924">
        <w:t xml:space="preserve">is </w:t>
      </w:r>
      <w:r w:rsidR="006C08BF">
        <w:t xml:space="preserve">intimately intertwined with those of all the </w:t>
      </w:r>
      <w:r w:rsidR="00055601">
        <w:t>others</w:t>
      </w:r>
      <w:r w:rsidR="00C36C71">
        <w:t xml:space="preserve"> </w:t>
      </w:r>
      <w:r w:rsidR="00D504D1">
        <w:t xml:space="preserve">of its ilk </w:t>
      </w:r>
      <w:r w:rsidR="00C36C71">
        <w:t>and with the boom in the reading and publication</w:t>
      </w:r>
      <w:r w:rsidR="001D4662">
        <w:t xml:space="preserve"> of novels in America in general</w:t>
      </w:r>
      <w:r w:rsidR="006C08BF">
        <w:t>.</w:t>
      </w:r>
      <w:r w:rsidR="005C7943">
        <w:t xml:space="preserve"> It belonged to what the </w:t>
      </w:r>
      <w:r w:rsidR="005C7943" w:rsidRPr="0033401B">
        <w:rPr>
          <w:i/>
        </w:rPr>
        <w:t>New York Ledger</w:t>
      </w:r>
      <w:r w:rsidR="000926CB">
        <w:t xml:space="preserve"> </w:t>
      </w:r>
      <w:r w:rsidR="005C7943">
        <w:t>termed a “miniature library” of German novels by women that had provided “an exceedingly large public [with] br</w:t>
      </w:r>
      <w:r w:rsidR="0033401B">
        <w:t>ight and agreeable reading</w:t>
      </w:r>
      <w:r w:rsidR="00A94F80">
        <w:t>”</w:t>
      </w:r>
      <w:r w:rsidR="00645E2C">
        <w:t xml:space="preserve"> that actually had</w:t>
      </w:r>
      <w:r w:rsidR="00645E2C">
        <w:rPr>
          <w:i/>
          <w:iCs/>
        </w:rPr>
        <w:t xml:space="preserve"> </w:t>
      </w:r>
      <w:r w:rsidR="00645E2C">
        <w:t>“the knack of interesting readers.</w:t>
      </w:r>
      <w:r w:rsidR="005C7943">
        <w:t>”</w:t>
      </w:r>
      <w:r w:rsidR="005C7943">
        <w:rPr>
          <w:rStyle w:val="EndnoteReference"/>
        </w:rPr>
        <w:endnoteReference w:id="2"/>
      </w:r>
      <w:r w:rsidR="00645E2C">
        <w:t xml:space="preserve"> </w:t>
      </w:r>
    </w:p>
    <w:p w:rsidR="00D23532" w:rsidRDefault="00645E2C" w:rsidP="00D23532">
      <w:pPr>
        <w:spacing w:line="480" w:lineRule="auto"/>
        <w:ind w:firstLine="720"/>
      </w:pPr>
      <w:r>
        <w:t xml:space="preserve">Taking its cue from Robert </w:t>
      </w:r>
      <w:proofErr w:type="spellStart"/>
      <w:r w:rsidR="00EC290E">
        <w:t>Darnton’s</w:t>
      </w:r>
      <w:proofErr w:type="spellEnd"/>
      <w:r w:rsidR="00EC290E">
        <w:t xml:space="preserve"> “communications circuit” and new appr</w:t>
      </w:r>
      <w:r>
        <w:t>oaches to book history, my essay</w:t>
      </w:r>
      <w:r w:rsidR="00EC290E">
        <w:t xml:space="preserve"> puts</w:t>
      </w:r>
      <w:r w:rsidR="004307DB">
        <w:t xml:space="preserve"> </w:t>
      </w:r>
      <w:r w:rsidR="004307DB" w:rsidRPr="004307DB">
        <w:rPr>
          <w:i/>
        </w:rPr>
        <w:t xml:space="preserve">Das </w:t>
      </w:r>
      <w:proofErr w:type="spellStart"/>
      <w:r w:rsidR="004307DB" w:rsidRPr="004307DB">
        <w:rPr>
          <w:i/>
        </w:rPr>
        <w:t>Geheimnis</w:t>
      </w:r>
      <w:proofErr w:type="spellEnd"/>
      <w:r w:rsidR="004307DB" w:rsidRPr="004307DB">
        <w:rPr>
          <w:i/>
        </w:rPr>
        <w:t xml:space="preserve"> </w:t>
      </w:r>
      <w:proofErr w:type="spellStart"/>
      <w:r w:rsidR="004307DB" w:rsidRPr="004307DB">
        <w:rPr>
          <w:i/>
        </w:rPr>
        <w:t>der</w:t>
      </w:r>
      <w:proofErr w:type="spellEnd"/>
      <w:r w:rsidR="004307DB" w:rsidRPr="004307DB">
        <w:rPr>
          <w:i/>
        </w:rPr>
        <w:t xml:space="preserve"> </w:t>
      </w:r>
      <w:proofErr w:type="spellStart"/>
      <w:r w:rsidR="004307DB" w:rsidRPr="004307DB">
        <w:rPr>
          <w:i/>
        </w:rPr>
        <w:t>alten</w:t>
      </w:r>
      <w:proofErr w:type="spellEnd"/>
      <w:r w:rsidR="004307DB" w:rsidRPr="004307DB">
        <w:rPr>
          <w:i/>
        </w:rPr>
        <w:t xml:space="preserve"> </w:t>
      </w:r>
      <w:proofErr w:type="spellStart"/>
      <w:r w:rsidR="004307DB" w:rsidRPr="004307DB">
        <w:rPr>
          <w:i/>
        </w:rPr>
        <w:t>Mamsell</w:t>
      </w:r>
      <w:proofErr w:type="spellEnd"/>
      <w:r w:rsidR="005C7943">
        <w:t>, this</w:t>
      </w:r>
      <w:r w:rsidR="0082695A">
        <w:t xml:space="preserve"> single</w:t>
      </w:r>
      <w:r w:rsidR="0033401B">
        <w:t xml:space="preserve"> </w:t>
      </w:r>
      <w:r w:rsidR="00057CF9">
        <w:t>text</w:t>
      </w:r>
      <w:r w:rsidR="001D4662">
        <w:t xml:space="preserve">, </w:t>
      </w:r>
      <w:r w:rsidR="00057CF9">
        <w:t xml:space="preserve">in </w:t>
      </w:r>
      <w:r w:rsidR="004A4141">
        <w:t xml:space="preserve">dialogue with </w:t>
      </w:r>
      <w:r w:rsidR="000926CB">
        <w:t>many</w:t>
      </w:r>
      <w:r w:rsidR="00E96235">
        <w:t xml:space="preserve"> American</w:t>
      </w:r>
      <w:r>
        <w:t>-produced</w:t>
      </w:r>
      <w:r w:rsidR="00E96235">
        <w:t xml:space="preserve"> books, </w:t>
      </w:r>
      <w:r w:rsidR="000926CB">
        <w:t xml:space="preserve">their </w:t>
      </w:r>
      <w:r w:rsidR="00E96235">
        <w:t>publishers</w:t>
      </w:r>
      <w:r w:rsidR="00EB62CA">
        <w:t>,</w:t>
      </w:r>
      <w:r w:rsidR="00E96235">
        <w:t xml:space="preserve"> and their readers</w:t>
      </w:r>
      <w:r w:rsidR="005C7943">
        <w:t>.</w:t>
      </w:r>
      <w:r w:rsidR="00EC290E">
        <w:rPr>
          <w:rStyle w:val="EndnoteReference"/>
          <w:bCs/>
        </w:rPr>
        <w:endnoteReference w:id="3"/>
      </w:r>
      <w:r w:rsidR="005C7943">
        <w:t xml:space="preserve"> </w:t>
      </w:r>
      <w:r w:rsidR="00057CF9">
        <w:t>As a translate</w:t>
      </w:r>
      <w:r w:rsidR="00E27003">
        <w:t xml:space="preserve">d text, </w:t>
      </w:r>
      <w:r w:rsidR="00E27003" w:rsidRPr="00E27003">
        <w:rPr>
          <w:i/>
        </w:rPr>
        <w:t xml:space="preserve">The Old </w:t>
      </w:r>
      <w:proofErr w:type="spellStart"/>
      <w:r w:rsidR="00E27003" w:rsidRPr="00E27003">
        <w:rPr>
          <w:i/>
        </w:rPr>
        <w:t>Mam’selle’s</w:t>
      </w:r>
      <w:proofErr w:type="spellEnd"/>
      <w:r w:rsidR="00E27003" w:rsidRPr="00E27003">
        <w:rPr>
          <w:i/>
        </w:rPr>
        <w:t xml:space="preserve"> Secret</w:t>
      </w:r>
      <w:r w:rsidR="006C08BF">
        <w:t xml:space="preserve"> potentially transmitted</w:t>
      </w:r>
      <w:r w:rsidR="00057CF9">
        <w:t xml:space="preserve"> Germ</w:t>
      </w:r>
      <w:r w:rsidR="004E27D2">
        <w:t>an values, taste, a</w:t>
      </w:r>
      <w:r w:rsidR="00E57C82">
        <w:t>nd culture. A</w:t>
      </w:r>
      <w:r w:rsidR="00057CF9">
        <w:t>s a book advertised, sold, circulat</w:t>
      </w:r>
      <w:r w:rsidR="008964E5">
        <w:t>ed, and read over six decades in</w:t>
      </w:r>
      <w:r w:rsidR="00422063">
        <w:t xml:space="preserve"> an age of </w:t>
      </w:r>
      <w:r w:rsidR="00E96235">
        <w:t>pirate printing</w:t>
      </w:r>
      <w:r w:rsidR="00422063">
        <w:t xml:space="preserve"> and booming book production</w:t>
      </w:r>
      <w:r w:rsidR="00D23532">
        <w:t>,</w:t>
      </w:r>
      <w:r w:rsidR="006C08BF">
        <w:t xml:space="preserve"> it became</w:t>
      </w:r>
      <w:r w:rsidR="008964E5">
        <w:t xml:space="preserve"> </w:t>
      </w:r>
      <w:r w:rsidR="00057CF9">
        <w:t>an American story</w:t>
      </w:r>
      <w:r w:rsidR="002804CF">
        <w:t xml:space="preserve">, </w:t>
      </w:r>
      <w:r w:rsidR="00693F5C">
        <w:t>one whose publication history</w:t>
      </w:r>
      <w:r w:rsidR="0044773E">
        <w:t xml:space="preserve"> </w:t>
      </w:r>
      <w:r w:rsidR="008964E5">
        <w:t xml:space="preserve">can </w:t>
      </w:r>
      <w:r w:rsidR="009D6911">
        <w:t>be investigated for its</w:t>
      </w:r>
      <w:r w:rsidR="006C08BF">
        <w:t xml:space="preserve"> </w:t>
      </w:r>
      <w:r w:rsidR="009D6911">
        <w:t>indexing of</w:t>
      </w:r>
      <w:r w:rsidR="0044773E">
        <w:t xml:space="preserve"> </w:t>
      </w:r>
      <w:r w:rsidR="0044773E" w:rsidRPr="00E57C82">
        <w:rPr>
          <w:i/>
        </w:rPr>
        <w:t>Ameri</w:t>
      </w:r>
      <w:r w:rsidR="00FE40E0" w:rsidRPr="00E57C82">
        <w:rPr>
          <w:i/>
        </w:rPr>
        <w:t>can</w:t>
      </w:r>
      <w:r w:rsidR="00FE40E0">
        <w:t xml:space="preserve"> taste</w:t>
      </w:r>
      <w:r w:rsidR="00E57C82">
        <w:t>s</w:t>
      </w:r>
      <w:r w:rsidR="00FE40E0">
        <w:t xml:space="preserve">, values, and </w:t>
      </w:r>
      <w:r w:rsidR="0044773E">
        <w:t>longing</w:t>
      </w:r>
      <w:r w:rsidR="00057CF9">
        <w:t>.</w:t>
      </w:r>
      <w:r w:rsidR="0044773E">
        <w:t xml:space="preserve"> </w:t>
      </w:r>
      <w:r w:rsidR="00E96235">
        <w:t>T</w:t>
      </w:r>
      <w:r w:rsidR="0004413C">
        <w:t>hroug</w:t>
      </w:r>
      <w:r w:rsidR="00422063">
        <w:t xml:space="preserve">h translation, publication, </w:t>
      </w:r>
      <w:r w:rsidR="00134D15">
        <w:t xml:space="preserve">and </w:t>
      </w:r>
      <w:r w:rsidR="0004413C">
        <w:t>reprinting</w:t>
      </w:r>
      <w:r w:rsidR="004307DB">
        <w:t xml:space="preserve"> </w:t>
      </w:r>
      <w:r w:rsidR="00455CFF">
        <w:rPr>
          <w:i/>
        </w:rPr>
        <w:t xml:space="preserve">The Old </w:t>
      </w:r>
      <w:proofErr w:type="spellStart"/>
      <w:r w:rsidR="00455CFF">
        <w:rPr>
          <w:i/>
        </w:rPr>
        <w:t>Mam’selle’s</w:t>
      </w:r>
      <w:proofErr w:type="spellEnd"/>
      <w:r w:rsidR="00455CFF">
        <w:rPr>
          <w:i/>
        </w:rPr>
        <w:t xml:space="preserve"> S</w:t>
      </w:r>
      <w:r w:rsidR="00E57C82" w:rsidRPr="00E57C82">
        <w:rPr>
          <w:i/>
        </w:rPr>
        <w:t>ecret</w:t>
      </w:r>
      <w:r w:rsidR="00E57C82">
        <w:t xml:space="preserve"> </w:t>
      </w:r>
      <w:r w:rsidR="004307DB">
        <w:t>became</w:t>
      </w:r>
      <w:r w:rsidR="00E96235">
        <w:t xml:space="preserve">, in Gideon Tory’s formulation, </w:t>
      </w:r>
      <w:r w:rsidR="00E57C82">
        <w:t>a “fact” of American culture</w:t>
      </w:r>
      <w:r w:rsidR="00E96235">
        <w:t xml:space="preserve">, </w:t>
      </w:r>
      <w:r w:rsidR="00515B19">
        <w:t>less a German story than American entertainment</w:t>
      </w:r>
      <w:r w:rsidR="006629DE">
        <w:t xml:space="preserve">. </w:t>
      </w:r>
      <w:r w:rsidR="000E7707">
        <w:t>Given this his</w:t>
      </w:r>
      <w:r w:rsidR="00F93BC2">
        <w:t xml:space="preserve">tory of acculturation, I aim to investigate </w:t>
      </w:r>
      <w:r w:rsidR="003967EC" w:rsidRPr="002407A7">
        <w:t xml:space="preserve">how </w:t>
      </w:r>
      <w:proofErr w:type="spellStart"/>
      <w:r w:rsidR="003967EC" w:rsidRPr="002407A7">
        <w:t>Marlitt’s</w:t>
      </w:r>
      <w:proofErr w:type="spellEnd"/>
      <w:r w:rsidR="003967EC" w:rsidRPr="002407A7">
        <w:t xml:space="preserve"> novel </w:t>
      </w:r>
      <w:r w:rsidR="00873815">
        <w:t xml:space="preserve">represented Germany to America, how it </w:t>
      </w:r>
      <w:r w:rsidR="003967EC" w:rsidRPr="002407A7">
        <w:t xml:space="preserve">conformed </w:t>
      </w:r>
      <w:r w:rsidR="000926CB" w:rsidRPr="002407A7">
        <w:t xml:space="preserve">enough </w:t>
      </w:r>
      <w:r w:rsidR="003967EC" w:rsidRPr="002407A7">
        <w:t xml:space="preserve">to existing </w:t>
      </w:r>
      <w:r w:rsidR="00C36C71" w:rsidRPr="002407A7">
        <w:t xml:space="preserve">American </w:t>
      </w:r>
      <w:r w:rsidR="003967EC" w:rsidRPr="002407A7">
        <w:t xml:space="preserve">tastes </w:t>
      </w:r>
      <w:r w:rsidR="000926CB" w:rsidRPr="002407A7">
        <w:t>to be acceptable</w:t>
      </w:r>
      <w:r w:rsidR="00D23532">
        <w:t xml:space="preserve"> to American readers</w:t>
      </w:r>
      <w:r w:rsidR="00873815">
        <w:t>,</w:t>
      </w:r>
      <w:r w:rsidR="000926CB" w:rsidRPr="002407A7">
        <w:t xml:space="preserve"> </w:t>
      </w:r>
      <w:r w:rsidR="003967EC" w:rsidRPr="002407A7">
        <w:t xml:space="preserve">and how it stood out sufficiently </w:t>
      </w:r>
      <w:r w:rsidR="00D23532">
        <w:t xml:space="preserve">in America </w:t>
      </w:r>
      <w:r w:rsidR="0086130A" w:rsidRPr="002407A7">
        <w:t xml:space="preserve">as a good read </w:t>
      </w:r>
      <w:r w:rsidR="00880C59" w:rsidRPr="002407A7">
        <w:t xml:space="preserve">to endure as favorite reading </w:t>
      </w:r>
      <w:r w:rsidR="003967EC" w:rsidRPr="002407A7">
        <w:t xml:space="preserve">over </w:t>
      </w:r>
      <w:r w:rsidR="00C04985" w:rsidRPr="002407A7">
        <w:t>half a century</w:t>
      </w:r>
      <w:r w:rsidR="00C36C71" w:rsidRPr="002407A7">
        <w:t>.</w:t>
      </w:r>
      <w:r w:rsidR="003967EC" w:rsidRPr="002407A7">
        <w:t xml:space="preserve"> </w:t>
      </w:r>
      <w:r w:rsidR="000E7707">
        <w:t>Over the course of my consideration of these questions I will</w:t>
      </w:r>
      <w:r w:rsidR="000926CB" w:rsidRPr="002407A7">
        <w:t>, moreover,</w:t>
      </w:r>
      <w:r>
        <w:t xml:space="preserve"> </w:t>
      </w:r>
      <w:r w:rsidR="000E7707">
        <w:t xml:space="preserve">model </w:t>
      </w:r>
      <w:r>
        <w:t>how close exam</w:t>
      </w:r>
      <w:r w:rsidR="00D23532">
        <w:t>ination of individual examples—</w:t>
      </w:r>
      <w:r>
        <w:t>what I am</w:t>
      </w:r>
      <w:r w:rsidR="00D23532">
        <w:t xml:space="preserve"> loosely terming “close reading</w:t>
      </w:r>
      <w:r>
        <w:t>”</w:t>
      </w:r>
      <w:r w:rsidR="00D23532">
        <w:t>—</w:t>
      </w:r>
      <w:r w:rsidR="00E27003" w:rsidRPr="002407A7">
        <w:t xml:space="preserve">and </w:t>
      </w:r>
      <w:r>
        <w:t>“</w:t>
      </w:r>
      <w:r w:rsidR="00E27003" w:rsidRPr="002407A7">
        <w:t>distant reading</w:t>
      </w:r>
      <w:r>
        <w:t xml:space="preserve">,” in the formulation of Franco </w:t>
      </w:r>
      <w:proofErr w:type="spellStart"/>
      <w:r>
        <w:t>Moretti</w:t>
      </w:r>
      <w:proofErr w:type="spellEnd"/>
      <w:r>
        <w:t>, of larger sets of data</w:t>
      </w:r>
      <w:r w:rsidR="00950964">
        <w:t xml:space="preserve"> complement one another.</w:t>
      </w:r>
      <w:r w:rsidR="00950964">
        <w:rPr>
          <w:rStyle w:val="EndnoteReference"/>
        </w:rPr>
        <w:endnoteReference w:id="4"/>
      </w:r>
      <w:r w:rsidR="00D23532">
        <w:t xml:space="preserve"> My analysis will </w:t>
      </w:r>
      <w:r w:rsidR="00455CFF">
        <w:t>illustrate</w:t>
      </w:r>
      <w:r w:rsidR="00950964">
        <w:t xml:space="preserve"> how</w:t>
      </w:r>
      <w:r w:rsidR="00455CFF">
        <w:t xml:space="preserve"> both approaches can be combined to write</w:t>
      </w:r>
      <w:r w:rsidR="00E27003" w:rsidRPr="002407A7">
        <w:t xml:space="preserve"> literary history that is</w:t>
      </w:r>
      <w:r w:rsidR="00065924" w:rsidRPr="002407A7">
        <w:t xml:space="preserve"> not limited by the national</w:t>
      </w:r>
      <w:r w:rsidR="00335A02" w:rsidRPr="002407A7">
        <w:t>, the canonical,</w:t>
      </w:r>
      <w:r w:rsidR="00C36C71" w:rsidRPr="002407A7">
        <w:t xml:space="preserve"> a</w:t>
      </w:r>
      <w:r w:rsidR="00880C59" w:rsidRPr="002407A7">
        <w:t>nd the merely textual</w:t>
      </w:r>
      <w:r w:rsidR="00B05A9B">
        <w:t xml:space="preserve"> and that also examines</w:t>
      </w:r>
      <w:r w:rsidR="00335A02" w:rsidRPr="002407A7">
        <w:t xml:space="preserve"> the not insignificant role of women’s writing and </w:t>
      </w:r>
      <w:r w:rsidR="004A320F">
        <w:t>women’s and adolescent</w:t>
      </w:r>
      <w:r w:rsidR="00134D15">
        <w:t>s’</w:t>
      </w:r>
      <w:r w:rsidR="004A320F">
        <w:t xml:space="preserve"> </w:t>
      </w:r>
      <w:r w:rsidR="00335A02" w:rsidRPr="002407A7">
        <w:t>reading in the transnational literary field</w:t>
      </w:r>
      <w:r w:rsidR="00E27003" w:rsidRPr="002407A7">
        <w:t>.</w:t>
      </w:r>
      <w:r w:rsidR="009D6911" w:rsidRPr="002407A7">
        <w:t xml:space="preserve"> </w:t>
      </w:r>
      <w:r>
        <w:t>Let us first take a close look at the text of</w:t>
      </w:r>
      <w:r w:rsidR="00C36C71" w:rsidRPr="002407A7">
        <w:t xml:space="preserve"> </w:t>
      </w:r>
      <w:proofErr w:type="spellStart"/>
      <w:r w:rsidR="00C36C71" w:rsidRPr="002407A7">
        <w:t>Marlitt’s</w:t>
      </w:r>
      <w:proofErr w:type="spellEnd"/>
      <w:r w:rsidR="00C36C71" w:rsidRPr="002407A7">
        <w:t xml:space="preserve"> </w:t>
      </w:r>
      <w:r w:rsidR="00CE192F" w:rsidRPr="002407A7">
        <w:t xml:space="preserve">highly mobile </w:t>
      </w:r>
      <w:r w:rsidR="00C36C71" w:rsidRPr="002407A7">
        <w:t>international</w:t>
      </w:r>
      <w:r w:rsidR="00065924" w:rsidRPr="002407A7">
        <w:t xml:space="preserve"> best</w:t>
      </w:r>
      <w:r w:rsidR="00B066F3" w:rsidRPr="002407A7">
        <w:t>seller</w:t>
      </w:r>
      <w:r w:rsidR="00CE192F" w:rsidRPr="002407A7">
        <w:t>.</w:t>
      </w:r>
      <w:r w:rsidR="00CE192F" w:rsidRPr="002407A7">
        <w:rPr>
          <w:rStyle w:val="EndnoteReference"/>
        </w:rPr>
        <w:endnoteReference w:id="5"/>
      </w:r>
    </w:p>
    <w:p w:rsidR="005048CF" w:rsidRDefault="005048CF" w:rsidP="00D23532">
      <w:pPr>
        <w:spacing w:line="480" w:lineRule="auto"/>
        <w:ind w:firstLine="720"/>
      </w:pPr>
    </w:p>
    <w:p w:rsidR="00940863" w:rsidRPr="005048CF" w:rsidRDefault="005048CF" w:rsidP="005048CF">
      <w:pPr>
        <w:spacing w:line="480" w:lineRule="auto"/>
        <w:rPr>
          <w:b/>
          <w:spacing w:val="-3"/>
        </w:rPr>
      </w:pPr>
      <w:r w:rsidRPr="005048CF">
        <w:rPr>
          <w:b/>
        </w:rPr>
        <w:t>Domestic Romance German Style</w:t>
      </w:r>
      <w:r w:rsidR="00E948D2">
        <w:rPr>
          <w:b/>
        </w:rPr>
        <w:t>: The One</w:t>
      </w:r>
    </w:p>
    <w:p w:rsidR="004325F5" w:rsidRDefault="00065924" w:rsidP="00D23532">
      <w:pPr>
        <w:spacing w:line="480" w:lineRule="auto"/>
      </w:pPr>
      <w:r>
        <w:t>Serialized</w:t>
      </w:r>
      <w:r w:rsidR="004325F5">
        <w:t xml:space="preserve"> in the </w:t>
      </w:r>
      <w:proofErr w:type="spellStart"/>
      <w:r w:rsidR="004325F5" w:rsidRPr="004325F5">
        <w:rPr>
          <w:i/>
        </w:rPr>
        <w:t>Gartenlaube</w:t>
      </w:r>
      <w:proofErr w:type="spellEnd"/>
      <w:r w:rsidR="00FD56E8">
        <w:t xml:space="preserve"> in 1867</w:t>
      </w:r>
      <w:r w:rsidR="004325F5">
        <w:t xml:space="preserve">, </w:t>
      </w:r>
      <w:proofErr w:type="spellStart"/>
      <w:r w:rsidR="004325F5">
        <w:t>Marlitt’s</w:t>
      </w:r>
      <w:proofErr w:type="spellEnd"/>
      <w:r w:rsidR="004325F5">
        <w:t xml:space="preserve"> </w:t>
      </w:r>
      <w:r w:rsidR="001A7B84">
        <w:t xml:space="preserve">domestic </w:t>
      </w:r>
      <w:r w:rsidR="004325F5">
        <w:t>romance was tailored to pre-unification German provincial conditions and German middle-class values and ideas about the cu</w:t>
      </w:r>
      <w:r w:rsidR="00CC5B54">
        <w:t xml:space="preserve">ltural nation. The </w:t>
      </w:r>
      <w:r w:rsidR="00D171FF">
        <w:t>contents harmonized with the aims</w:t>
      </w:r>
      <w:r w:rsidR="00A579C1">
        <w:t xml:space="preserve"> of this </w:t>
      </w:r>
      <w:r w:rsidR="004325F5">
        <w:t>family magazine</w:t>
      </w:r>
      <w:r w:rsidR="008251CA">
        <w:t>,</w:t>
      </w:r>
      <w:r w:rsidR="00A579C1">
        <w:t xml:space="preserve"> which </w:t>
      </w:r>
      <w:r w:rsidR="004325F5">
        <w:t xml:space="preserve">in the 1860s </w:t>
      </w:r>
      <w:r w:rsidR="00A579C1">
        <w:t xml:space="preserve">determined </w:t>
      </w:r>
      <w:r w:rsidR="004325F5">
        <w:t xml:space="preserve">to cultivate German readers with programmatically German products. Yet from the start </w:t>
      </w:r>
      <w:r w:rsidR="00455CFF">
        <w:rPr>
          <w:i/>
          <w:iCs/>
        </w:rPr>
        <w:t xml:space="preserve">Das </w:t>
      </w:r>
      <w:proofErr w:type="spellStart"/>
      <w:r w:rsidR="00455CFF">
        <w:rPr>
          <w:i/>
          <w:iCs/>
        </w:rPr>
        <w:t>Geheimnis</w:t>
      </w:r>
      <w:proofErr w:type="spellEnd"/>
      <w:r w:rsidR="00455CFF">
        <w:rPr>
          <w:i/>
          <w:iCs/>
        </w:rPr>
        <w:t xml:space="preserve"> </w:t>
      </w:r>
      <w:proofErr w:type="spellStart"/>
      <w:r w:rsidR="00455CFF">
        <w:rPr>
          <w:i/>
          <w:iCs/>
        </w:rPr>
        <w:t>der</w:t>
      </w:r>
      <w:proofErr w:type="spellEnd"/>
      <w:r w:rsidR="00455CFF">
        <w:rPr>
          <w:i/>
          <w:iCs/>
        </w:rPr>
        <w:t xml:space="preserve"> </w:t>
      </w:r>
      <w:proofErr w:type="spellStart"/>
      <w:r w:rsidR="00455CFF">
        <w:rPr>
          <w:i/>
          <w:iCs/>
        </w:rPr>
        <w:t>alten</w:t>
      </w:r>
      <w:proofErr w:type="spellEnd"/>
      <w:r w:rsidR="00455CFF">
        <w:rPr>
          <w:i/>
          <w:iCs/>
        </w:rPr>
        <w:t xml:space="preserve"> </w:t>
      </w:r>
      <w:proofErr w:type="spellStart"/>
      <w:r w:rsidR="00455CFF">
        <w:rPr>
          <w:i/>
          <w:iCs/>
        </w:rPr>
        <w:t>Mam’selle</w:t>
      </w:r>
      <w:proofErr w:type="spellEnd"/>
      <w:r w:rsidR="003967EC">
        <w:t xml:space="preserve"> </w:t>
      </w:r>
      <w:r w:rsidR="00A579C1">
        <w:t>bore the signs</w:t>
      </w:r>
      <w:r w:rsidR="004325F5">
        <w:t xml:space="preserve"> of the author’s international reading, specifically her fami</w:t>
      </w:r>
      <w:r w:rsidR="006C1258">
        <w:t xml:space="preserve">liarity with </w:t>
      </w:r>
      <w:r w:rsidR="004325F5" w:rsidRPr="00751269">
        <w:rPr>
          <w:i/>
          <w:iCs/>
        </w:rPr>
        <w:t>Jane Eyre</w:t>
      </w:r>
      <w:r w:rsidR="004325F5">
        <w:t>.</w:t>
      </w:r>
      <w:r w:rsidR="004325F5">
        <w:rPr>
          <w:rStyle w:val="EndnoteReference"/>
        </w:rPr>
        <w:endnoteReference w:id="6"/>
      </w:r>
      <w:r w:rsidR="00F5457D">
        <w:t xml:space="preserve"> C</w:t>
      </w:r>
      <w:r w:rsidR="004325F5">
        <w:t>lose rea</w:t>
      </w:r>
      <w:r w:rsidR="006C1258">
        <w:t xml:space="preserve">ding makes visible both </w:t>
      </w:r>
      <w:r w:rsidR="00455CFF">
        <w:t xml:space="preserve">its </w:t>
      </w:r>
      <w:r w:rsidR="00F50664">
        <w:t xml:space="preserve">brand of </w:t>
      </w:r>
      <w:proofErr w:type="spellStart"/>
      <w:r w:rsidR="00F50664">
        <w:t>Germanness</w:t>
      </w:r>
      <w:proofErr w:type="spellEnd"/>
      <w:r w:rsidR="00F50664">
        <w:t xml:space="preserve"> and its </w:t>
      </w:r>
      <w:r w:rsidR="00F5457D">
        <w:t>resonance with</w:t>
      </w:r>
      <w:r w:rsidR="006C1258">
        <w:t xml:space="preserve"> </w:t>
      </w:r>
      <w:proofErr w:type="spellStart"/>
      <w:r w:rsidR="006C1258">
        <w:t>Bronté</w:t>
      </w:r>
      <w:r w:rsidR="00F50664">
        <w:t>’s</w:t>
      </w:r>
      <w:proofErr w:type="spellEnd"/>
      <w:r w:rsidR="00F50664">
        <w:t xml:space="preserve"> novel</w:t>
      </w:r>
      <w:r w:rsidR="004325F5">
        <w:t>.</w:t>
      </w:r>
    </w:p>
    <w:p w:rsidR="004325F5" w:rsidRDefault="004325F5" w:rsidP="004325F5">
      <w:pPr>
        <w:spacing w:line="480" w:lineRule="auto"/>
        <w:ind w:firstLine="720"/>
      </w:pPr>
      <w:r>
        <w:t xml:space="preserve">Rudolf </w:t>
      </w:r>
      <w:proofErr w:type="spellStart"/>
      <w:r>
        <w:t>Gottschall</w:t>
      </w:r>
      <w:proofErr w:type="spellEnd"/>
      <w:r>
        <w:t xml:space="preserve"> early remarked on the similarity of </w:t>
      </w:r>
      <w:proofErr w:type="spellStart"/>
      <w:r>
        <w:t>Felicitas</w:t>
      </w:r>
      <w:proofErr w:type="spellEnd"/>
      <w:r>
        <w:t xml:space="preserve">, the heroine </w:t>
      </w:r>
      <w:r w:rsidR="00455CFF">
        <w:t xml:space="preserve">of </w:t>
      </w:r>
      <w:r w:rsidR="00455CFF">
        <w:rPr>
          <w:i/>
        </w:rPr>
        <w:t xml:space="preserve">Das </w:t>
      </w:r>
      <w:proofErr w:type="spellStart"/>
      <w:r w:rsidR="00455CFF">
        <w:rPr>
          <w:i/>
        </w:rPr>
        <w:t>Geheimnis</w:t>
      </w:r>
      <w:proofErr w:type="spellEnd"/>
      <w:r w:rsidR="00455CFF">
        <w:rPr>
          <w:i/>
        </w:rPr>
        <w:t xml:space="preserve"> </w:t>
      </w:r>
      <w:proofErr w:type="spellStart"/>
      <w:r w:rsidR="00455CFF">
        <w:rPr>
          <w:i/>
        </w:rPr>
        <w:t>der</w:t>
      </w:r>
      <w:proofErr w:type="spellEnd"/>
      <w:r w:rsidR="00455CFF">
        <w:rPr>
          <w:i/>
        </w:rPr>
        <w:t xml:space="preserve"> </w:t>
      </w:r>
      <w:proofErr w:type="spellStart"/>
      <w:r w:rsidR="00455CFF">
        <w:rPr>
          <w:i/>
        </w:rPr>
        <w:t>alten</w:t>
      </w:r>
      <w:proofErr w:type="spellEnd"/>
      <w:r w:rsidR="00455CFF">
        <w:rPr>
          <w:i/>
        </w:rPr>
        <w:t xml:space="preserve"> </w:t>
      </w:r>
      <w:proofErr w:type="spellStart"/>
      <w:r w:rsidR="00455CFF">
        <w:rPr>
          <w:i/>
        </w:rPr>
        <w:t>Mam’sell</w:t>
      </w:r>
      <w:proofErr w:type="spellEnd"/>
      <w:r w:rsidR="0033401B">
        <w:t xml:space="preserve"> to </w:t>
      </w:r>
      <w:proofErr w:type="spellStart"/>
      <w:r w:rsidR="0033401B">
        <w:t>Brontë’s</w:t>
      </w:r>
      <w:proofErr w:type="spellEnd"/>
      <w:r w:rsidR="0033401B">
        <w:t xml:space="preserve"> Jane, </w:t>
      </w:r>
      <w:r w:rsidR="00134D15">
        <w:t xml:space="preserve">yet </w:t>
      </w:r>
      <w:r w:rsidR="0033401B">
        <w:t>he neglected</w:t>
      </w:r>
      <w:r>
        <w:t xml:space="preserve"> to mention the</w:t>
      </w:r>
      <w:r w:rsidR="00C04985">
        <w:t xml:space="preserve"> most striking affini</w:t>
      </w:r>
      <w:r w:rsidR="007F50A3">
        <w:t>ty between the two works</w:t>
      </w:r>
      <w:r>
        <w:t>, namely the “mad woman in the attic</w:t>
      </w:r>
      <w:r w:rsidR="00F5457D">
        <w:t xml:space="preserve">,” </w:t>
      </w:r>
      <w:r w:rsidR="0086130A">
        <w:t xml:space="preserve">Aunt </w:t>
      </w:r>
      <w:proofErr w:type="spellStart"/>
      <w:r w:rsidR="0086130A">
        <w:t>Cordula</w:t>
      </w:r>
      <w:proofErr w:type="spellEnd"/>
      <w:r w:rsidR="0086130A">
        <w:t xml:space="preserve">, </w:t>
      </w:r>
      <w:proofErr w:type="spellStart"/>
      <w:r w:rsidR="0086130A">
        <w:t>Marlitt’s</w:t>
      </w:r>
      <w:proofErr w:type="spellEnd"/>
      <w:r>
        <w:t xml:space="preserve"> </w:t>
      </w:r>
      <w:r w:rsidR="00D171FF">
        <w:t xml:space="preserve">benign </w:t>
      </w:r>
      <w:r>
        <w:t xml:space="preserve">antithesis to </w:t>
      </w:r>
      <w:proofErr w:type="spellStart"/>
      <w:r>
        <w:t>Brontë’s</w:t>
      </w:r>
      <w:proofErr w:type="spellEnd"/>
      <w:r>
        <w:t xml:space="preserve"> mad woman.</w:t>
      </w:r>
      <w:r>
        <w:rPr>
          <w:rStyle w:val="EndnoteReference"/>
        </w:rPr>
        <w:endnoteReference w:id="7"/>
      </w:r>
      <w:r w:rsidR="00BA413B">
        <w:t xml:space="preserve"> </w:t>
      </w:r>
      <w:proofErr w:type="spellStart"/>
      <w:r w:rsidR="00BA413B">
        <w:t>Cordula</w:t>
      </w:r>
      <w:proofErr w:type="spellEnd"/>
      <w:r w:rsidR="00BA413B">
        <w:t xml:space="preserve"> lives directly under the roof</w:t>
      </w:r>
      <w:r w:rsidR="007F50A3">
        <w:t xml:space="preserve"> of a grand</w:t>
      </w:r>
      <w:r>
        <w:t xml:space="preserve"> old house </w:t>
      </w:r>
      <w:r w:rsidR="00F5457D">
        <w:t xml:space="preserve">in Thuringia </w:t>
      </w:r>
      <w:r>
        <w:t xml:space="preserve">virtually invisible to the rest of the </w:t>
      </w:r>
      <w:proofErr w:type="spellStart"/>
      <w:r>
        <w:t>Hellwig</w:t>
      </w:r>
      <w:proofErr w:type="spellEnd"/>
      <w:r>
        <w:t xml:space="preserve"> family who inhabit the floors below. Unlike </w:t>
      </w:r>
      <w:proofErr w:type="spellStart"/>
      <w:r>
        <w:t>Brontë’s</w:t>
      </w:r>
      <w:proofErr w:type="spellEnd"/>
      <w:r>
        <w:t xml:space="preserve"> Bertha Mason, she is not a raving monster from th</w:t>
      </w:r>
      <w:r w:rsidR="00BA413B">
        <w:t>e c</w:t>
      </w:r>
      <w:r w:rsidR="00134D15">
        <w:t>olonies who threatens to</w:t>
      </w:r>
      <w:r>
        <w:t xml:space="preserve"> im</w:t>
      </w:r>
      <w:r w:rsidR="00BA413B">
        <w:t>pede the happy ending. Wher</w:t>
      </w:r>
      <w:r w:rsidR="00D171FF">
        <w:t>e</w:t>
      </w:r>
      <w:r w:rsidR="00BA413B">
        <w:t>as</w:t>
      </w:r>
      <w:r>
        <w:t xml:space="preserve"> </w:t>
      </w:r>
      <w:proofErr w:type="spellStart"/>
      <w:r>
        <w:t>Bro</w:t>
      </w:r>
      <w:r w:rsidR="00AD23E7">
        <w:t>ntë</w:t>
      </w:r>
      <w:proofErr w:type="spellEnd"/>
      <w:r>
        <w:t xml:space="preserve"> labeled her mad Bertha “the foul </w:t>
      </w:r>
      <w:r w:rsidRPr="00BA413B">
        <w:rPr>
          <w:i/>
        </w:rPr>
        <w:t>German</w:t>
      </w:r>
      <w:r w:rsidR="00BA413B">
        <w:t xml:space="preserve"> </w:t>
      </w:r>
      <w:proofErr w:type="spellStart"/>
      <w:r w:rsidR="00BA413B">
        <w:t>spectre</w:t>
      </w:r>
      <w:proofErr w:type="spellEnd"/>
      <w:r w:rsidR="00BA413B">
        <w:t xml:space="preserve">—the </w:t>
      </w:r>
      <w:proofErr w:type="spellStart"/>
      <w:r w:rsidR="00BA413B">
        <w:t>Vampyre</w:t>
      </w:r>
      <w:proofErr w:type="spellEnd"/>
      <w:r w:rsidR="00BA413B">
        <w:t xml:space="preserve"> [my italics],</w:t>
      </w:r>
      <w:r>
        <w:t xml:space="preserve">” </w:t>
      </w:r>
      <w:proofErr w:type="spellStart"/>
      <w:r>
        <w:t>Marlitt</w:t>
      </w:r>
      <w:proofErr w:type="spellEnd"/>
      <w:r>
        <w:t xml:space="preserve"> made her </w:t>
      </w:r>
      <w:proofErr w:type="spellStart"/>
      <w:r>
        <w:t>Cordula</w:t>
      </w:r>
      <w:proofErr w:type="spellEnd"/>
      <w:r>
        <w:t xml:space="preserve">, like her name, the heart of German culture. </w:t>
      </w:r>
      <w:proofErr w:type="spellStart"/>
      <w:r>
        <w:t>Cordula</w:t>
      </w:r>
      <w:proofErr w:type="spellEnd"/>
      <w:r>
        <w:t xml:space="preserve"> is </w:t>
      </w:r>
      <w:proofErr w:type="spellStart"/>
      <w:r>
        <w:t>Felicitas’s</w:t>
      </w:r>
      <w:proofErr w:type="spellEnd"/>
      <w:r>
        <w:t xml:space="preserve"> te</w:t>
      </w:r>
      <w:r w:rsidR="00163275">
        <w:t>acher and</w:t>
      </w:r>
      <w:r>
        <w:t xml:space="preserve"> deliverer, and </w:t>
      </w:r>
      <w:r w:rsidR="00163275">
        <w:t xml:space="preserve">also </w:t>
      </w:r>
      <w:r>
        <w:t>the guard</w:t>
      </w:r>
      <w:r w:rsidR="009B705C">
        <w:t>ian of German culture and</w:t>
      </w:r>
      <w:r>
        <w:t xml:space="preserve"> values in a house </w:t>
      </w:r>
      <w:r w:rsidR="00F95185">
        <w:t xml:space="preserve">otherwise </w:t>
      </w:r>
      <w:r>
        <w:t xml:space="preserve">ruled </w:t>
      </w:r>
      <w:r w:rsidR="00F5457D">
        <w:t xml:space="preserve">in the lower stories </w:t>
      </w:r>
      <w:r>
        <w:t xml:space="preserve">by </w:t>
      </w:r>
      <w:r w:rsidR="000A091A">
        <w:t xml:space="preserve">greed, </w:t>
      </w:r>
      <w:r>
        <w:t>bigotry</w:t>
      </w:r>
      <w:r w:rsidR="00F5457D">
        <w:t>, and hypocrisy</w:t>
      </w:r>
      <w:r>
        <w:t>. Denied her own happy ending by socia</w:t>
      </w:r>
      <w:r w:rsidR="005729F7">
        <w:t xml:space="preserve">l prejudice and malfeasance, </w:t>
      </w:r>
      <w:proofErr w:type="spellStart"/>
      <w:r w:rsidR="005729F7">
        <w:t>Cordula</w:t>
      </w:r>
      <w:proofErr w:type="spellEnd"/>
      <w:r>
        <w:t xml:space="preserve"> holds the key to </w:t>
      </w:r>
      <w:r w:rsidR="00BA413B">
        <w:t xml:space="preserve">unlocking </w:t>
      </w:r>
      <w:r>
        <w:t>the family’s dishon</w:t>
      </w:r>
      <w:r w:rsidR="00967207">
        <w:t xml:space="preserve">orable past, one </w:t>
      </w:r>
      <w:r>
        <w:t xml:space="preserve">rooted in </w:t>
      </w:r>
      <w:r w:rsidR="007F50A3">
        <w:t>a deeply fraught</w:t>
      </w:r>
      <w:r w:rsidR="00967207">
        <w:t xml:space="preserve"> </w:t>
      </w:r>
      <w:r>
        <w:t>German history.</w:t>
      </w:r>
      <w:r w:rsidR="001A7B84">
        <w:t xml:space="preserve"> This past needs to be disclosed</w:t>
      </w:r>
      <w:r>
        <w:t xml:space="preserve"> and atoned for the sake of the happy e</w:t>
      </w:r>
      <w:r w:rsidR="00BA413B">
        <w:t>nding of the younger generation and</w:t>
      </w:r>
      <w:r>
        <w:t xml:space="preserve"> the wedding o</w:t>
      </w:r>
      <w:r w:rsidR="00163275">
        <w:t xml:space="preserve">f the </w:t>
      </w:r>
      <w:r w:rsidR="00BA413B">
        <w:t>heroine</w:t>
      </w:r>
      <w:r w:rsidR="009B705C">
        <w:t xml:space="preserve"> and</w:t>
      </w:r>
      <w:r w:rsidR="00163275">
        <w:t xml:space="preserve"> the doctor-her</w:t>
      </w:r>
      <w:r w:rsidR="00455CFF">
        <w:t>o.</w:t>
      </w:r>
    </w:p>
    <w:p w:rsidR="004325F5" w:rsidRDefault="00D171FF" w:rsidP="004325F5">
      <w:pPr>
        <w:spacing w:line="480" w:lineRule="auto"/>
      </w:pPr>
      <w:r>
        <w:tab/>
      </w:r>
      <w:r w:rsidR="008964E5">
        <w:t xml:space="preserve">Banished to the attic because her </w:t>
      </w:r>
      <w:r w:rsidR="00455CFF">
        <w:t xml:space="preserve">playing of </w:t>
      </w:r>
      <w:r w:rsidR="008964E5">
        <w:t xml:space="preserve">profane music </w:t>
      </w:r>
      <w:r w:rsidR="00455CFF">
        <w:t xml:space="preserve">on the Sabbath </w:t>
      </w:r>
      <w:r w:rsidR="004325F5">
        <w:t xml:space="preserve">offends Frau </w:t>
      </w:r>
      <w:proofErr w:type="spellStart"/>
      <w:r w:rsidR="004325F5">
        <w:t>Hellwig</w:t>
      </w:r>
      <w:proofErr w:type="spellEnd"/>
      <w:r w:rsidR="004325F5">
        <w:t xml:space="preserve">, the lady of the house, </w:t>
      </w:r>
      <w:proofErr w:type="spellStart"/>
      <w:r w:rsidR="004325F5">
        <w:t>Cordula</w:t>
      </w:r>
      <w:proofErr w:type="spellEnd"/>
      <w:r w:rsidR="004325F5">
        <w:t xml:space="preserve"> lives hidden, surrounded by marble busts of great </w:t>
      </w:r>
      <w:r w:rsidR="00F5457D">
        <w:t xml:space="preserve">German </w:t>
      </w:r>
      <w:r w:rsidR="004325F5">
        <w:t xml:space="preserve">men, books, and ivy. She reads, plays German classical music, treasures her autograph collection of letters and manuscripts of important German composers, cultivates a </w:t>
      </w:r>
      <w:r w:rsidR="008964E5">
        <w:t>garden</w:t>
      </w:r>
      <w:r w:rsidR="00455CFF">
        <w:t xml:space="preserve"> on an inner balcony</w:t>
      </w:r>
      <w:r w:rsidR="004325F5">
        <w:t xml:space="preserve">, </w:t>
      </w:r>
      <w:r w:rsidR="001A7B84">
        <w:t xml:space="preserve">feeds the birds, </w:t>
      </w:r>
      <w:r w:rsidR="004325F5">
        <w:t>and ex</w:t>
      </w:r>
      <w:r w:rsidR="00BA413B">
        <w:t xml:space="preserve">tends charity to </w:t>
      </w:r>
      <w:r w:rsidR="008964E5">
        <w:t>the needy</w:t>
      </w:r>
      <w:r w:rsidR="004325F5">
        <w:t xml:space="preserve">. When </w:t>
      </w:r>
      <w:proofErr w:type="spellStart"/>
      <w:r w:rsidR="004325F5">
        <w:t>Cordula</w:t>
      </w:r>
      <w:proofErr w:type="spellEnd"/>
      <w:r w:rsidR="004325F5">
        <w:t xml:space="preserve"> come</w:t>
      </w:r>
      <w:r w:rsidR="00F95185">
        <w:t>s</w:t>
      </w:r>
      <w:r w:rsidR="004325F5">
        <w:t xml:space="preserve"> to the aid of orphaned </w:t>
      </w:r>
      <w:proofErr w:type="spellStart"/>
      <w:r w:rsidR="004325F5">
        <w:t>Felicitas</w:t>
      </w:r>
      <w:proofErr w:type="spellEnd"/>
      <w:r w:rsidR="004325F5">
        <w:t>, she</w:t>
      </w:r>
      <w:r w:rsidR="00F5457D">
        <w:t xml:space="preserve"> t</w:t>
      </w:r>
      <w:r w:rsidR="0001310A">
        <w:t>eaches her to appreciate art and</w:t>
      </w:r>
      <w:r w:rsidR="00F5457D">
        <w:t xml:space="preserve"> </w:t>
      </w:r>
      <w:r w:rsidR="0001310A">
        <w:t>literature, instructs her in French and leads her to embrace</w:t>
      </w:r>
      <w:r w:rsidR="008964E5">
        <w:t xml:space="preserve"> a joyful </w:t>
      </w:r>
      <w:r w:rsidR="004325F5">
        <w:t xml:space="preserve">Christianity that </w:t>
      </w:r>
      <w:r w:rsidR="008964E5">
        <w:t xml:space="preserve">contrasts with the rigid </w:t>
      </w:r>
      <w:r w:rsidR="004325F5">
        <w:t xml:space="preserve">piety practiced by the </w:t>
      </w:r>
      <w:proofErr w:type="spellStart"/>
      <w:r w:rsidR="004325F5">
        <w:t>Hell</w:t>
      </w:r>
      <w:r w:rsidR="000A091A">
        <w:t>wigs</w:t>
      </w:r>
      <w:proofErr w:type="spellEnd"/>
      <w:r w:rsidR="000A091A">
        <w:t xml:space="preserve"> on the </w:t>
      </w:r>
      <w:r w:rsidR="00BA413B">
        <w:t>floors</w:t>
      </w:r>
      <w:r w:rsidR="000A091A">
        <w:t xml:space="preserve"> below</w:t>
      </w:r>
      <w:r w:rsidR="0001310A">
        <w:t xml:space="preserve">. The </w:t>
      </w:r>
      <w:r w:rsidR="000E7707">
        <w:t>“</w:t>
      </w:r>
      <w:r w:rsidR="0001310A">
        <w:t xml:space="preserve">Old </w:t>
      </w:r>
      <w:proofErr w:type="spellStart"/>
      <w:r w:rsidR="0001310A">
        <w:t>Mam’sell</w:t>
      </w:r>
      <w:proofErr w:type="spellEnd"/>
      <w:r w:rsidR="0001310A">
        <w:t>,</w:t>
      </w:r>
      <w:r w:rsidR="000E7707">
        <w:t>”</w:t>
      </w:r>
      <w:r w:rsidR="0001310A">
        <w:t xml:space="preserve"> t</w:t>
      </w:r>
      <w:r w:rsidR="00BA413B">
        <w:t>his</w:t>
      </w:r>
      <w:r w:rsidR="004325F5">
        <w:t xml:space="preserve"> figure of </w:t>
      </w:r>
      <w:r w:rsidR="0001310A">
        <w:t xml:space="preserve">German </w:t>
      </w:r>
      <w:r w:rsidR="004325F5">
        <w:t>popular culture</w:t>
      </w:r>
      <w:r w:rsidR="0001310A">
        <w:t>,</w:t>
      </w:r>
      <w:r w:rsidR="004325F5">
        <w:t xml:space="preserve"> embodies German </w:t>
      </w:r>
      <w:r w:rsidR="000E7707">
        <w:t>national high culture,</w:t>
      </w:r>
      <w:r w:rsidR="0001310A">
        <w:t xml:space="preserve"> the formative </w:t>
      </w:r>
      <w:r w:rsidR="004325F5">
        <w:t>idea of</w:t>
      </w:r>
      <w:r w:rsidR="000E7707">
        <w:t xml:space="preserve"> aesthetic education, and</w:t>
      </w:r>
      <w:r w:rsidR="004325F5">
        <w:t xml:space="preserve"> </w:t>
      </w:r>
      <w:r w:rsidR="0001310A">
        <w:t>middle-class ideals of virtue</w:t>
      </w:r>
      <w:r w:rsidR="004325F5">
        <w:t xml:space="preserve"> and sentiment. </w:t>
      </w:r>
    </w:p>
    <w:p w:rsidR="00A44CE1" w:rsidRDefault="004325F5" w:rsidP="00FD56E8">
      <w:pPr>
        <w:spacing w:line="480" w:lineRule="auto"/>
      </w:pPr>
      <w:r>
        <w:tab/>
        <w:t xml:space="preserve">The family secret </w:t>
      </w:r>
      <w:r w:rsidR="00F344E6">
        <w:t xml:space="preserve">is </w:t>
      </w:r>
      <w:r w:rsidR="00A44CE1">
        <w:t xml:space="preserve">itself </w:t>
      </w:r>
      <w:r>
        <w:t xml:space="preserve">rooted in a specifically German history and concerns the swindling by the bourgeois </w:t>
      </w:r>
      <w:proofErr w:type="spellStart"/>
      <w:r>
        <w:t>Hellwigs</w:t>
      </w:r>
      <w:proofErr w:type="spellEnd"/>
      <w:r>
        <w:t xml:space="preserve"> of the aristocratic, but impoverished, </w:t>
      </w:r>
      <w:r w:rsidR="00A44CE1">
        <w:t xml:space="preserve">von </w:t>
      </w:r>
      <w:proofErr w:type="spellStart"/>
      <w:r>
        <w:t>Hirschsprungs</w:t>
      </w:r>
      <w:proofErr w:type="spellEnd"/>
      <w:r>
        <w:t xml:space="preserve"> who had originally built the house. When in the year 1633 the troops of </w:t>
      </w:r>
      <w:proofErr w:type="spellStart"/>
      <w:r>
        <w:t>Gustavus</w:t>
      </w:r>
      <w:proofErr w:type="spellEnd"/>
      <w:r>
        <w:t xml:space="preserve"> </w:t>
      </w:r>
      <w:proofErr w:type="spellStart"/>
      <w:r>
        <w:t>Adolphus</w:t>
      </w:r>
      <w:proofErr w:type="spellEnd"/>
      <w:r>
        <w:t xml:space="preserve"> invaded Thuringia, the fortunes of the Catholic </w:t>
      </w:r>
      <w:r w:rsidR="00A44CE1">
        <w:t xml:space="preserve">von </w:t>
      </w:r>
      <w:proofErr w:type="spellStart"/>
      <w:r>
        <w:t>Hirschsprungs</w:t>
      </w:r>
      <w:proofErr w:type="spellEnd"/>
      <w:r>
        <w:t xml:space="preserve"> took a devastatin</w:t>
      </w:r>
      <w:r w:rsidR="007C1F7E">
        <w:t xml:space="preserve">g turn. </w:t>
      </w:r>
      <w:r w:rsidR="00C1125A">
        <w:t>To save some of their valuables</w:t>
      </w:r>
      <w:r>
        <w:t xml:space="preserve"> from the marauding </w:t>
      </w:r>
      <w:r w:rsidR="00C1125A">
        <w:t xml:space="preserve">troops, the </w:t>
      </w:r>
      <w:r w:rsidR="00A44CE1">
        <w:t xml:space="preserve">von </w:t>
      </w:r>
      <w:proofErr w:type="spellStart"/>
      <w:r w:rsidR="00C1125A">
        <w:t>Hirschsprungs</w:t>
      </w:r>
      <w:proofErr w:type="spellEnd"/>
      <w:r w:rsidR="00C1125A">
        <w:t xml:space="preserve"> hid them</w:t>
      </w:r>
      <w:r>
        <w:t xml:space="preserve"> in the foundations of the house, but died bef</w:t>
      </w:r>
      <w:r w:rsidR="000E7707">
        <w:t>ore they were able to reclaim them</w:t>
      </w:r>
      <w:r>
        <w:t xml:space="preserve">. When two hundred years later, </w:t>
      </w:r>
      <w:proofErr w:type="spellStart"/>
      <w:r>
        <w:t>Cordula</w:t>
      </w:r>
      <w:proofErr w:type="spellEnd"/>
      <w:r>
        <w:t xml:space="preserve"> discovered the hidden treasure, her father and cousin secretly and unlawfully kept it for themselves rather than restore it to the rightful heirs, an impoverished</w:t>
      </w:r>
      <w:r w:rsidR="000A617F">
        <w:t xml:space="preserve"> shoe</w:t>
      </w:r>
      <w:r w:rsidR="0001310A">
        <w:t xml:space="preserve">maker and his son. </w:t>
      </w:r>
      <w:proofErr w:type="spellStart"/>
      <w:r w:rsidR="00A44CE1">
        <w:t>Cordula</w:t>
      </w:r>
      <w:proofErr w:type="spellEnd"/>
      <w:r w:rsidR="00A44CE1">
        <w:t xml:space="preserve"> loved this musically gifted shoemaker’s son, but the class prejudice and greed of her father prevented her from marrying him. He died in her arms unaware of the fortune and unaware that </w:t>
      </w:r>
      <w:proofErr w:type="spellStart"/>
      <w:r w:rsidR="00A44CE1">
        <w:t>Cordula</w:t>
      </w:r>
      <w:proofErr w:type="spellEnd"/>
      <w:r w:rsidR="00A44CE1">
        <w:t xml:space="preserve"> had stood by him at the risk of her reputation. Meanwhile </w:t>
      </w:r>
      <w:proofErr w:type="spellStart"/>
      <w:r w:rsidR="00A44CE1">
        <w:t>Cordula’s</w:t>
      </w:r>
      <w:proofErr w:type="spellEnd"/>
      <w:r w:rsidR="00A44CE1">
        <w:t xml:space="preserve"> opposition to her father </w:t>
      </w:r>
      <w:r w:rsidR="004F1F95">
        <w:t xml:space="preserve">occasioned his stroke and </w:t>
      </w:r>
      <w:r w:rsidR="00A44CE1">
        <w:t xml:space="preserve">his </w:t>
      </w:r>
      <w:r w:rsidR="004F1F95">
        <w:t xml:space="preserve">subsequent </w:t>
      </w:r>
      <w:r w:rsidR="00A44CE1">
        <w:t>demise</w:t>
      </w:r>
      <w:r w:rsidR="000E7707">
        <w:t>,</w:t>
      </w:r>
      <w:r w:rsidR="00A44CE1">
        <w:t xml:space="preserve"> and </w:t>
      </w:r>
      <w:proofErr w:type="spellStart"/>
      <w:r w:rsidR="00A44CE1">
        <w:t>Cordula</w:t>
      </w:r>
      <w:proofErr w:type="spellEnd"/>
      <w:r w:rsidR="00A44CE1">
        <w:t xml:space="preserve"> was subsequently silenced.</w:t>
      </w:r>
    </w:p>
    <w:p w:rsidR="004325F5" w:rsidRPr="006C05CF" w:rsidRDefault="00E35E15" w:rsidP="00F344E6">
      <w:pPr>
        <w:spacing w:line="480" w:lineRule="auto"/>
        <w:ind w:firstLine="720"/>
      </w:pPr>
      <w:r>
        <w:t xml:space="preserve">Years later, a pair of bracelets, each engraved with three lines of love poetry that together constitute a stanza of a song from Ulrich von Liechtenstein’s </w:t>
      </w:r>
      <w:proofErr w:type="spellStart"/>
      <w:r w:rsidRPr="009C2806">
        <w:rPr>
          <w:i/>
          <w:iCs/>
        </w:rPr>
        <w:t>Frauendienst</w:t>
      </w:r>
      <w:proofErr w:type="spellEnd"/>
      <w:r>
        <w:t xml:space="preserve">, provides a clue to the crime. Thus </w:t>
      </w:r>
      <w:proofErr w:type="spellStart"/>
      <w:r>
        <w:t>Marlitt’s</w:t>
      </w:r>
      <w:proofErr w:type="spellEnd"/>
      <w:r>
        <w:t xml:space="preserve"> text tightly intertwines the family secret with German history and recently recovered German. </w:t>
      </w:r>
      <w:r w:rsidR="00F95185">
        <w:t>All three</w:t>
      </w:r>
      <w:r w:rsidR="004325F5">
        <w:t xml:space="preserve"> American translations reproduce the original Middle High German text in full, providing a strongly visible national historical tag</w:t>
      </w:r>
      <w:r w:rsidRPr="00E35E15">
        <w:t xml:space="preserve"> </w:t>
      </w:r>
      <w:r>
        <w:t xml:space="preserve">literature—the philologist Karl </w:t>
      </w:r>
      <w:proofErr w:type="spellStart"/>
      <w:r>
        <w:t>Lachmann</w:t>
      </w:r>
      <w:proofErr w:type="spellEnd"/>
      <w:r>
        <w:t xml:space="preserve"> had re-published Ulrich’s works in 1841</w:t>
      </w:r>
      <w:r w:rsidR="00F344E6">
        <w:t>—</w:t>
      </w:r>
      <w:r>
        <w:t>a thirteenth-century German valorization of the power of true love, fidelity, and the happy ending, the “</w:t>
      </w:r>
      <w:proofErr w:type="spellStart"/>
      <w:r w:rsidRPr="006C05CF">
        <w:t>wunneclîchez</w:t>
      </w:r>
      <w:proofErr w:type="spellEnd"/>
      <w:r w:rsidRPr="006C05CF">
        <w:t xml:space="preserve"> </w:t>
      </w:r>
      <w:proofErr w:type="spellStart"/>
      <w:r w:rsidRPr="006C05CF">
        <w:t>leben</w:t>
      </w:r>
      <w:proofErr w:type="spellEnd"/>
      <w:r w:rsidR="007C1F7E">
        <w:t>.</w:t>
      </w:r>
      <w:r w:rsidR="00F344E6">
        <w:t>”</w:t>
      </w:r>
      <w:r w:rsidR="004325F5">
        <w:rPr>
          <w:rStyle w:val="EndnoteReference"/>
          <w:lang w:val="de-DE"/>
        </w:rPr>
        <w:endnoteReference w:id="8"/>
      </w:r>
    </w:p>
    <w:p w:rsidR="007C1F7E" w:rsidRDefault="00FD56E8" w:rsidP="004325F5">
      <w:pPr>
        <w:spacing w:line="480" w:lineRule="auto"/>
        <w:ind w:firstLine="720"/>
      </w:pPr>
      <w:proofErr w:type="spellStart"/>
      <w:r>
        <w:t>Cordula</w:t>
      </w:r>
      <w:proofErr w:type="spellEnd"/>
      <w:r w:rsidR="004325F5">
        <w:t xml:space="preserve"> </w:t>
      </w:r>
      <w:r w:rsidR="009577E7">
        <w:t>has</w:t>
      </w:r>
      <w:r w:rsidR="006C1258">
        <w:t xml:space="preserve"> invested</w:t>
      </w:r>
      <w:r>
        <w:t xml:space="preserve"> her own</w:t>
      </w:r>
      <w:r w:rsidR="006C1258">
        <w:t xml:space="preserve"> fortune</w:t>
      </w:r>
      <w:r>
        <w:t xml:space="preserve"> </w:t>
      </w:r>
      <w:r w:rsidR="004325F5">
        <w:t xml:space="preserve">in </w:t>
      </w:r>
      <w:r w:rsidR="009577E7">
        <w:t xml:space="preserve">her </w:t>
      </w:r>
      <w:r w:rsidR="004325F5">
        <w:t>manuscript collection</w:t>
      </w:r>
      <w:r w:rsidR="007C1F7E">
        <w:t xml:space="preserve">, </w:t>
      </w:r>
      <w:r w:rsidR="009577E7">
        <w:t xml:space="preserve">in particular, </w:t>
      </w:r>
      <w:r w:rsidR="004325F5">
        <w:t xml:space="preserve">the </w:t>
      </w:r>
      <w:r w:rsidR="009577E7">
        <w:t xml:space="preserve">nearly priceless and </w:t>
      </w:r>
      <w:r w:rsidR="004325F5">
        <w:t>sole surviving copy of a Bach opera written in the local</w:t>
      </w:r>
      <w:r w:rsidR="0001310A">
        <w:t xml:space="preserve"> </w:t>
      </w:r>
      <w:proofErr w:type="spellStart"/>
      <w:r w:rsidR="0001310A">
        <w:t>Thuringian</w:t>
      </w:r>
      <w:proofErr w:type="spellEnd"/>
      <w:r w:rsidR="007C1F7E">
        <w:t xml:space="preserve"> dialect</w:t>
      </w:r>
      <w:r>
        <w:t>. Upon her</w:t>
      </w:r>
      <w:r w:rsidR="004325F5">
        <w:t xml:space="preserve"> dea</w:t>
      </w:r>
      <w:r w:rsidR="007C1F7E">
        <w:t xml:space="preserve">th, however, Frau </w:t>
      </w:r>
      <w:proofErr w:type="spellStart"/>
      <w:r w:rsidR="007C1F7E">
        <w:t>Hellwig</w:t>
      </w:r>
      <w:proofErr w:type="spellEnd"/>
      <w:r w:rsidR="007C1F7E">
        <w:t xml:space="preserve">, </w:t>
      </w:r>
      <w:r w:rsidR="004325F5">
        <w:t xml:space="preserve">in search of family silver, </w:t>
      </w:r>
      <w:r w:rsidR="00CC1B17">
        <w:t xml:space="preserve">finds the opera and </w:t>
      </w:r>
      <w:r w:rsidR="004325F5">
        <w:t>burn</w:t>
      </w:r>
      <w:r w:rsidR="00CC1B17">
        <w:t>s it, considering it mere rubbish</w:t>
      </w:r>
      <w:r w:rsidR="0001310A">
        <w:t xml:space="preserve">. This </w:t>
      </w:r>
      <w:r>
        <w:t xml:space="preserve">second </w:t>
      </w:r>
      <w:r w:rsidR="0001310A">
        <w:t>crime</w:t>
      </w:r>
      <w:r>
        <w:t>, one</w:t>
      </w:r>
      <w:r w:rsidR="0001310A">
        <w:t xml:space="preserve"> against German cultural heritage</w:t>
      </w:r>
      <w:r>
        <w:t>,</w:t>
      </w:r>
      <w:r w:rsidR="004325F5">
        <w:t xml:space="preserve"> confirms that Frau </w:t>
      </w:r>
      <w:proofErr w:type="spellStart"/>
      <w:r w:rsidR="004325F5">
        <w:t>Hellw</w:t>
      </w:r>
      <w:r w:rsidR="007C1F7E">
        <w:t>ig’s</w:t>
      </w:r>
      <w:proofErr w:type="spellEnd"/>
      <w:r w:rsidR="007C1F7E">
        <w:t xml:space="preserve"> stern</w:t>
      </w:r>
      <w:r w:rsidR="000A091A">
        <w:t xml:space="preserve"> </w:t>
      </w:r>
      <w:r w:rsidR="004325F5">
        <w:t>piety</w:t>
      </w:r>
      <w:r w:rsidR="007C1F7E">
        <w:t xml:space="preserve"> has</w:t>
      </w:r>
      <w:r w:rsidR="00C1125A">
        <w:t xml:space="preserve"> no place in modern Germany;</w:t>
      </w:r>
      <w:r w:rsidR="0001310A">
        <w:t xml:space="preserve"> it blinds her to the </w:t>
      </w:r>
      <w:r w:rsidR="004325F5">
        <w:t xml:space="preserve">value of a work by a great German composer. </w:t>
      </w:r>
    </w:p>
    <w:p w:rsidR="009B705C" w:rsidRDefault="005729F7" w:rsidP="004325F5">
      <w:pPr>
        <w:spacing w:line="480" w:lineRule="auto"/>
        <w:ind w:firstLine="720"/>
      </w:pPr>
      <w:r>
        <w:t xml:space="preserve">The determination of </w:t>
      </w:r>
      <w:r w:rsidR="007C1F7E">
        <w:t xml:space="preserve">Johannes Frau </w:t>
      </w:r>
      <w:proofErr w:type="spellStart"/>
      <w:r w:rsidR="007C1F7E">
        <w:t>Hellwig’s</w:t>
      </w:r>
      <w:proofErr w:type="spellEnd"/>
      <w:r w:rsidR="007C1F7E">
        <w:t xml:space="preserve"> son Johannes</w:t>
      </w:r>
      <w:r w:rsidR="009F59D2">
        <w:t>,</w:t>
      </w:r>
      <w:r w:rsidR="008251CA">
        <w:t xml:space="preserve"> against his own</w:t>
      </w:r>
      <w:r>
        <w:t xml:space="preserve"> financial interests to compensate the </w:t>
      </w:r>
      <w:r w:rsidR="00607EEB">
        <w:t xml:space="preserve">aristocratic </w:t>
      </w:r>
      <w:proofErr w:type="spellStart"/>
      <w:r>
        <w:t>Hirschsprung</w:t>
      </w:r>
      <w:proofErr w:type="spellEnd"/>
      <w:r w:rsidR="009577E7">
        <w:t xml:space="preserve"> family for the stolen treasure </w:t>
      </w:r>
      <w:r w:rsidRPr="00CC5B54">
        <w:t xml:space="preserve">and also </w:t>
      </w:r>
      <w:r w:rsidR="00BB4F70" w:rsidRPr="00CC5B54">
        <w:t xml:space="preserve">for the </w:t>
      </w:r>
      <w:r w:rsidR="007C1F7E" w:rsidRPr="00CC5B54">
        <w:t>incinerated manuscript</w:t>
      </w:r>
      <w:r w:rsidR="009577E7" w:rsidRPr="00CC5B54">
        <w:t xml:space="preserve">, which </w:t>
      </w:r>
      <w:proofErr w:type="spellStart"/>
      <w:r w:rsidR="009577E7" w:rsidRPr="00CC5B54">
        <w:t>Cordula</w:t>
      </w:r>
      <w:proofErr w:type="spellEnd"/>
      <w:r w:rsidR="009577E7" w:rsidRPr="00CC5B54">
        <w:t xml:space="preserve"> had willed to the </w:t>
      </w:r>
      <w:r w:rsidR="00E35E15">
        <w:t xml:space="preserve">von </w:t>
      </w:r>
      <w:proofErr w:type="spellStart"/>
      <w:r w:rsidR="009577E7" w:rsidRPr="00CC5B54">
        <w:t>Hirschsprung</w:t>
      </w:r>
      <w:proofErr w:type="spellEnd"/>
      <w:r w:rsidR="009577E7" w:rsidRPr="00CC5B54">
        <w:t xml:space="preserve"> heirs</w:t>
      </w:r>
      <w:r w:rsidR="00F50664" w:rsidRPr="00CC5B54">
        <w:t xml:space="preserve"> to</w:t>
      </w:r>
      <w:r w:rsidR="002E4BAC" w:rsidRPr="00CC5B54">
        <w:t xml:space="preserve"> atone the family crime</w:t>
      </w:r>
      <w:r w:rsidR="009577E7" w:rsidRPr="00CC5B54">
        <w:t>,</w:t>
      </w:r>
      <w:r w:rsidR="007C1F7E" w:rsidRPr="00CC5B54">
        <w:t xml:space="preserve"> </w:t>
      </w:r>
      <w:r w:rsidR="00607EEB" w:rsidRPr="00CC5B54">
        <w:t>incorporat</w:t>
      </w:r>
      <w:r w:rsidR="009F59D2" w:rsidRPr="00CC5B54">
        <w:t>es the principal</w:t>
      </w:r>
      <w:r>
        <w:t xml:space="preserve"> moral message of the novel.  Personal happiness depends on </w:t>
      </w:r>
      <w:r w:rsidR="006D4E79">
        <w:t>honor and specifically the fulfil</w:t>
      </w:r>
      <w:r w:rsidR="00D171FF">
        <w:t>l</w:t>
      </w:r>
      <w:r w:rsidR="006D4E79">
        <w:t>ment</w:t>
      </w:r>
      <w:r>
        <w:t xml:space="preserve"> of all obligations, </w:t>
      </w:r>
      <w:r w:rsidR="002E4BAC">
        <w:t xml:space="preserve">whether </w:t>
      </w:r>
      <w:r w:rsidR="009F59D2">
        <w:t xml:space="preserve">legally contractual or </w:t>
      </w:r>
      <w:r w:rsidR="00BB4F70">
        <w:t xml:space="preserve">merely </w:t>
      </w:r>
      <w:r>
        <w:t xml:space="preserve">morally binding. </w:t>
      </w:r>
      <w:r w:rsidR="00607EEB">
        <w:t>While it also t</w:t>
      </w:r>
      <w:r w:rsidR="005048CF">
        <w:t xml:space="preserve">urns out that </w:t>
      </w:r>
      <w:proofErr w:type="spellStart"/>
      <w:r w:rsidR="005048CF">
        <w:t>Felicitas’s</w:t>
      </w:r>
      <w:proofErr w:type="spellEnd"/>
      <w:r w:rsidR="005048CF">
        <w:t xml:space="preserve"> mother was a</w:t>
      </w:r>
      <w:r w:rsidR="00607EEB">
        <w:t xml:space="preserve"> </w:t>
      </w:r>
      <w:r w:rsidR="005048CF">
        <w:t xml:space="preserve">von </w:t>
      </w:r>
      <w:proofErr w:type="spellStart"/>
      <w:r w:rsidR="005048CF">
        <w:t>Hirschsprung</w:t>
      </w:r>
      <w:proofErr w:type="spellEnd"/>
      <w:r w:rsidR="005048CF">
        <w:t xml:space="preserve"> </w:t>
      </w:r>
      <w:r w:rsidR="00607EEB">
        <w:t xml:space="preserve">disowned </w:t>
      </w:r>
      <w:r w:rsidR="005048CF">
        <w:t xml:space="preserve">by the family </w:t>
      </w:r>
      <w:r w:rsidR="00607EEB">
        <w:t>wh</w:t>
      </w:r>
      <w:r w:rsidR="002E4BAC">
        <w:t xml:space="preserve">en she </w:t>
      </w:r>
      <w:r w:rsidR="0086130A">
        <w:t>married far beneath her social rank</w:t>
      </w:r>
      <w:r w:rsidR="00607EEB">
        <w:t xml:space="preserve">, </w:t>
      </w:r>
      <w:proofErr w:type="spellStart"/>
      <w:r w:rsidR="00607EEB">
        <w:t>Felicitas</w:t>
      </w:r>
      <w:proofErr w:type="spellEnd"/>
      <w:r w:rsidR="00607EEB">
        <w:t xml:space="preserve"> has no intention of reconnecting with her </w:t>
      </w:r>
      <w:r w:rsidR="005048CF">
        <w:t xml:space="preserve">maternal </w:t>
      </w:r>
      <w:r w:rsidR="00607EEB">
        <w:t>family</w:t>
      </w:r>
      <w:r w:rsidR="000A617F">
        <w:t>,</w:t>
      </w:r>
      <w:r w:rsidR="002E4BAC">
        <w:t xml:space="preserve"> and they in turn </w:t>
      </w:r>
      <w:r w:rsidR="00607EEB">
        <w:t>never consider that she too should share in the monetary c</w:t>
      </w:r>
      <w:r w:rsidR="000A617F">
        <w:t>ompensation. She instead is</w:t>
      </w:r>
      <w:r w:rsidR="00607EEB">
        <w:t xml:space="preserve"> content to become Johannes’s wife and helpmeet. </w:t>
      </w:r>
      <w:r>
        <w:t xml:space="preserve">The </w:t>
      </w:r>
      <w:r w:rsidR="00BB4F70">
        <w:t xml:space="preserve">novel’s happy </w:t>
      </w:r>
      <w:r w:rsidR="00BA413B">
        <w:t xml:space="preserve">outcome </w:t>
      </w:r>
      <w:r w:rsidR="00FF7012">
        <w:t xml:space="preserve">thus </w:t>
      </w:r>
      <w:r w:rsidR="00C02E2D">
        <w:t>harmonizes virtue and desire and</w:t>
      </w:r>
      <w:r>
        <w:t xml:space="preserve"> allows the heroine secure social and economic standing based </w:t>
      </w:r>
      <w:r w:rsidR="00607EEB">
        <w:t xml:space="preserve">only </w:t>
      </w:r>
      <w:r>
        <w:t xml:space="preserve">on her husband’s profession as a </w:t>
      </w:r>
      <w:r w:rsidR="00800EDB">
        <w:t>doctor</w:t>
      </w:r>
      <w:r w:rsidR="009F59D2">
        <w:t xml:space="preserve"> and their </w:t>
      </w:r>
      <w:r w:rsidR="00D171FF">
        <w:t>future hard work</w:t>
      </w:r>
      <w:r w:rsidR="00800EDB">
        <w:t xml:space="preserve">. </w:t>
      </w:r>
      <w:proofErr w:type="spellStart"/>
      <w:r w:rsidR="00F50664">
        <w:t>Felicitas’s</w:t>
      </w:r>
      <w:proofErr w:type="spellEnd"/>
      <w:r w:rsidR="00F50664">
        <w:t xml:space="preserve"> happy ending</w:t>
      </w:r>
      <w:r w:rsidR="00F344E6">
        <w:t>,</w:t>
      </w:r>
      <w:r w:rsidR="00F50664">
        <w:t xml:space="preserve"> furthermore</w:t>
      </w:r>
      <w:r w:rsidR="00F344E6">
        <w:t>,</w:t>
      </w:r>
      <w:r w:rsidR="00F50664">
        <w:t xml:space="preserve"> re</w:t>
      </w:r>
      <w:r w:rsidR="00F344E6">
        <w:t>-</w:t>
      </w:r>
      <w:r w:rsidR="00F50664">
        <w:t>centers</w:t>
      </w:r>
      <w:r w:rsidR="00190B63">
        <w:t xml:space="preserve"> the German culture that was once banished to the attic in the </w:t>
      </w:r>
      <w:proofErr w:type="spellStart"/>
      <w:r w:rsidR="00190B63">
        <w:t>Hellwig</w:t>
      </w:r>
      <w:proofErr w:type="spellEnd"/>
      <w:r w:rsidR="00190B63">
        <w:t xml:space="preserve"> home.  In Johannes and </w:t>
      </w:r>
      <w:proofErr w:type="spellStart"/>
      <w:r w:rsidR="00190B63">
        <w:t>Felicitas’s</w:t>
      </w:r>
      <w:proofErr w:type="spellEnd"/>
      <w:r w:rsidR="00190B63">
        <w:t xml:space="preserve"> new home on </w:t>
      </w:r>
      <w:r w:rsidR="00F50664">
        <w:t xml:space="preserve">the Rhine, </w:t>
      </w:r>
      <w:proofErr w:type="spellStart"/>
      <w:r w:rsidR="00F50664">
        <w:t>Cordula’s</w:t>
      </w:r>
      <w:proofErr w:type="spellEnd"/>
      <w:r w:rsidR="00F50664">
        <w:t xml:space="preserve"> busts of great German men</w:t>
      </w:r>
      <w:r w:rsidR="00190B63">
        <w:t xml:space="preserve"> now adorn </w:t>
      </w:r>
      <w:proofErr w:type="spellStart"/>
      <w:r w:rsidR="00190B63">
        <w:t>Felicitas’s</w:t>
      </w:r>
      <w:proofErr w:type="spellEnd"/>
      <w:r w:rsidR="00190B63">
        <w:t xml:space="preserve"> room.</w:t>
      </w:r>
    </w:p>
    <w:p w:rsidR="00D256BE" w:rsidRDefault="007C1F7E" w:rsidP="004325F5">
      <w:pPr>
        <w:spacing w:line="480" w:lineRule="auto"/>
        <w:ind w:firstLine="720"/>
      </w:pPr>
      <w:r>
        <w:t xml:space="preserve">But the novel does not only offer the pleasure of virtue rewarded, justice done, </w:t>
      </w:r>
      <w:r w:rsidR="009577E7">
        <w:t>a</w:t>
      </w:r>
      <w:r>
        <w:t xml:space="preserve">nd culture redeemed; it is also structured by the mutual </w:t>
      </w:r>
      <w:r w:rsidR="00D256BE">
        <w:t xml:space="preserve">attraction between </w:t>
      </w:r>
      <w:proofErr w:type="spellStart"/>
      <w:r w:rsidR="00D256BE">
        <w:t>Felicitas</w:t>
      </w:r>
      <w:proofErr w:type="spellEnd"/>
      <w:r w:rsidR="00D256BE">
        <w:t xml:space="preserve"> and Johannes,</w:t>
      </w:r>
      <w:r w:rsidR="00923EE0">
        <w:t xml:space="preserve"> which both scrupulously s</w:t>
      </w:r>
      <w:r w:rsidR="00330A5F">
        <w:t>trive to resist</w:t>
      </w:r>
      <w:r w:rsidR="00D256BE">
        <w:t xml:space="preserve">. </w:t>
      </w:r>
      <w:r w:rsidR="00330A5F">
        <w:t xml:space="preserve"> The announcement on t</w:t>
      </w:r>
      <w:r w:rsidR="00D1609C">
        <w:t>he fina</w:t>
      </w:r>
      <w:r w:rsidR="003A3630">
        <w:t>l p</w:t>
      </w:r>
      <w:r w:rsidR="00330A5F">
        <w:t xml:space="preserve">age of the novel </w:t>
      </w:r>
      <w:r w:rsidR="003A3630">
        <w:t xml:space="preserve">of Johannes and </w:t>
      </w:r>
      <w:proofErr w:type="spellStart"/>
      <w:r w:rsidR="003A3630">
        <w:t>Felicitas’s</w:t>
      </w:r>
      <w:proofErr w:type="spellEnd"/>
      <w:r w:rsidR="003A3630">
        <w:t xml:space="preserve"> sturdy firstborn</w:t>
      </w:r>
      <w:r w:rsidR="00D1609C">
        <w:t xml:space="preserve">, delicately makes clear that the sexual longing </w:t>
      </w:r>
      <w:r w:rsidR="00923EE0">
        <w:t>that</w:t>
      </w:r>
      <w:r w:rsidR="00D1609C">
        <w:t xml:space="preserve"> structured a plot of delayed gratification </w:t>
      </w:r>
      <w:r w:rsidR="00923EE0">
        <w:t xml:space="preserve">has </w:t>
      </w:r>
      <w:r w:rsidR="00C1125A">
        <w:t xml:space="preserve">at last </w:t>
      </w:r>
      <w:r w:rsidR="00923EE0">
        <w:t>found fulfi</w:t>
      </w:r>
      <w:r w:rsidR="00D1609C">
        <w:t>l</w:t>
      </w:r>
      <w:r w:rsidR="004B1086">
        <w:t>l</w:t>
      </w:r>
      <w:r>
        <w:t>ment,</w:t>
      </w:r>
      <w:r w:rsidR="004B1086">
        <w:t xml:space="preserve"> the</w:t>
      </w:r>
      <w:r w:rsidR="00D1609C">
        <w:t xml:space="preserve"> bliss promised by </w:t>
      </w:r>
      <w:r w:rsidR="00330A5F">
        <w:t>love poetry of the match</w:t>
      </w:r>
      <w:r w:rsidR="00D1609C">
        <w:t>ed bracelets.</w:t>
      </w:r>
    </w:p>
    <w:p w:rsidR="00F344E6" w:rsidRDefault="00C1125A" w:rsidP="009577E7">
      <w:pPr>
        <w:spacing w:line="480" w:lineRule="auto"/>
        <w:ind w:firstLine="720"/>
      </w:pPr>
      <w:r>
        <w:t xml:space="preserve">While ending well for Johannes and </w:t>
      </w:r>
      <w:proofErr w:type="spellStart"/>
      <w:r>
        <w:t>Felicitas</w:t>
      </w:r>
      <w:proofErr w:type="spellEnd"/>
      <w:r>
        <w:t xml:space="preserve">, </w:t>
      </w:r>
      <w:r w:rsidR="005048CF">
        <w:rPr>
          <w:i/>
        </w:rPr>
        <w:t xml:space="preserve">The Old </w:t>
      </w:r>
      <w:proofErr w:type="spellStart"/>
      <w:r w:rsidR="005048CF">
        <w:rPr>
          <w:i/>
        </w:rPr>
        <w:t>Mamsell’s</w:t>
      </w:r>
      <w:proofErr w:type="spellEnd"/>
      <w:r w:rsidR="005048CF">
        <w:rPr>
          <w:i/>
        </w:rPr>
        <w:t xml:space="preserve"> S</w:t>
      </w:r>
      <w:r w:rsidR="00BB3385">
        <w:rPr>
          <w:i/>
        </w:rPr>
        <w:t>ecret</w:t>
      </w:r>
      <w:r w:rsidR="009577E7">
        <w:t xml:space="preserve"> </w:t>
      </w:r>
      <w:r w:rsidR="0042739B">
        <w:t>does not chart a trajectory of rags to riches; good character and education lead to happiness but not necessarily wealth</w:t>
      </w:r>
      <w:r w:rsidR="00D171FF">
        <w:t>.  In this respect, the</w:t>
      </w:r>
      <w:r w:rsidR="00BB4F70">
        <w:t xml:space="preserve"> novel</w:t>
      </w:r>
      <w:r w:rsidR="005729F7">
        <w:t xml:space="preserve"> is paradigmatic of the German domestic fiction that became a part of American reading: wealth may be a by-product but it is not the basis of happiness</w:t>
      </w:r>
      <w:r w:rsidR="00EF164D">
        <w:t xml:space="preserve">; </w:t>
      </w:r>
      <w:r w:rsidR="0086130A">
        <w:t>nor can money alone bridge social</w:t>
      </w:r>
      <w:r w:rsidR="00EF164D">
        <w:t xml:space="preserve"> difference</w:t>
      </w:r>
      <w:r w:rsidR="005729F7">
        <w:t xml:space="preserve">. </w:t>
      </w:r>
      <w:r w:rsidR="00330A5F">
        <w:t>It is thus striking that in 1912</w:t>
      </w:r>
      <w:r w:rsidR="005729F7">
        <w:t xml:space="preserve"> </w:t>
      </w:r>
      <w:r w:rsidR="00330A5F">
        <w:t>t</w:t>
      </w:r>
      <w:r w:rsidR="00D9024B">
        <w:t xml:space="preserve">he American </w:t>
      </w:r>
      <w:r w:rsidR="004F1F95">
        <w:t xml:space="preserve">short </w:t>
      </w:r>
      <w:r w:rsidR="00D9024B" w:rsidRPr="005562A3">
        <w:t xml:space="preserve">film version of </w:t>
      </w:r>
      <w:r w:rsidR="00D9024B" w:rsidRPr="005562A3">
        <w:rPr>
          <w:i/>
        </w:rPr>
        <w:t xml:space="preserve">The Old </w:t>
      </w:r>
      <w:proofErr w:type="spellStart"/>
      <w:r w:rsidR="00D9024B" w:rsidRPr="005562A3">
        <w:rPr>
          <w:i/>
        </w:rPr>
        <w:t>Mam’selle’s</w:t>
      </w:r>
      <w:proofErr w:type="spellEnd"/>
      <w:r w:rsidR="00D9024B" w:rsidRPr="005562A3">
        <w:rPr>
          <w:i/>
        </w:rPr>
        <w:t xml:space="preserve"> Secret</w:t>
      </w:r>
      <w:r w:rsidR="00330A5F">
        <w:t xml:space="preserve"> superseded </w:t>
      </w:r>
      <w:proofErr w:type="spellStart"/>
      <w:r w:rsidR="00330A5F">
        <w:t>Marlitt’s</w:t>
      </w:r>
      <w:proofErr w:type="spellEnd"/>
      <w:r w:rsidR="00330A5F">
        <w:t xml:space="preserve"> quaint “German” moralizing with a new happy ending that ran against the grain of the original</w:t>
      </w:r>
      <w:r w:rsidR="004F1F95">
        <w:t xml:space="preserve"> by embracing money as a critical element to happiness</w:t>
      </w:r>
      <w:r w:rsidR="00330A5F">
        <w:t xml:space="preserve">; in this short film </w:t>
      </w:r>
      <w:proofErr w:type="spellStart"/>
      <w:r w:rsidR="00330A5F">
        <w:t>Felicitas’s</w:t>
      </w:r>
      <w:proofErr w:type="spellEnd"/>
      <w:r w:rsidR="00330A5F">
        <w:t xml:space="preserve"> happiness depends on </w:t>
      </w:r>
      <w:r w:rsidR="009577E7">
        <w:t xml:space="preserve">her inheriting the </w:t>
      </w:r>
      <w:proofErr w:type="spellStart"/>
      <w:r w:rsidR="009577E7">
        <w:t>Hirschsprung</w:t>
      </w:r>
      <w:proofErr w:type="spellEnd"/>
      <w:r w:rsidR="009577E7">
        <w:t xml:space="preserve"> fortune;</w:t>
      </w:r>
      <w:r w:rsidR="00330A5F">
        <w:t xml:space="preserve"> </w:t>
      </w:r>
      <w:r w:rsidR="009577E7">
        <w:t>a</w:t>
      </w:r>
      <w:r w:rsidR="004F7D66">
        <w:t xml:space="preserve">s a movie synopsis </w:t>
      </w:r>
      <w:r w:rsidR="00EF164D">
        <w:t xml:space="preserve">reported, </w:t>
      </w:r>
      <w:proofErr w:type="spellStart"/>
      <w:r w:rsidR="00EF164D">
        <w:t>Felicitas</w:t>
      </w:r>
      <w:proofErr w:type="spellEnd"/>
      <w:r w:rsidR="00EF164D">
        <w:t xml:space="preserve"> feels free to accept Johannes’s proposal once she inherits money and thus “two loving hearts” are brought together.</w:t>
      </w:r>
      <w:r w:rsidR="004F1F95" w:rsidRPr="000F232D">
        <w:rPr>
          <w:rStyle w:val="EndnoteReference"/>
        </w:rPr>
        <w:endnoteReference w:id="9"/>
      </w:r>
    </w:p>
    <w:p w:rsidR="005048CF" w:rsidRDefault="009577E7" w:rsidP="009577E7">
      <w:pPr>
        <w:spacing w:line="480" w:lineRule="auto"/>
        <w:ind w:firstLine="720"/>
      </w:pPr>
      <w:r>
        <w:t xml:space="preserve">This </w:t>
      </w:r>
      <w:r w:rsidR="00CC5B54">
        <w:t xml:space="preserve">film </w:t>
      </w:r>
      <w:r>
        <w:t>adap</w:t>
      </w:r>
      <w:r w:rsidR="00F50664">
        <w:t>tation represents</w:t>
      </w:r>
      <w:r>
        <w:t xml:space="preserve"> a culmination of the “Americanization” of the original German text.</w:t>
      </w:r>
      <w:r w:rsidR="004A3249">
        <w:rPr>
          <w:rStyle w:val="EndnoteReference"/>
        </w:rPr>
        <w:endnoteReference w:id="10"/>
      </w:r>
      <w:r>
        <w:t xml:space="preserve"> Other processes of reception and adaptation had, however, already taken place via translation, reviewing, packaging, marketing, and reading.  These will</w:t>
      </w:r>
      <w:r w:rsidR="00F344E6">
        <w:t xml:space="preserve"> occupy us below</w:t>
      </w:r>
      <w:r>
        <w:t xml:space="preserve"> as we consider </w:t>
      </w:r>
      <w:r w:rsidR="0042739B">
        <w:t xml:space="preserve">larger </w:t>
      </w:r>
      <w:r w:rsidR="00F50664">
        <w:t xml:space="preserve">sets </w:t>
      </w:r>
      <w:r w:rsidR="00CC5B54">
        <w:t>and other</w:t>
      </w:r>
      <w:r w:rsidR="0042739B">
        <w:t xml:space="preserve"> kinds of data.</w:t>
      </w:r>
    </w:p>
    <w:p w:rsidR="005048CF" w:rsidRDefault="005048CF" w:rsidP="005048CF">
      <w:pPr>
        <w:spacing w:line="480" w:lineRule="auto"/>
      </w:pPr>
    </w:p>
    <w:p w:rsidR="005729F7" w:rsidRPr="005048CF" w:rsidRDefault="00A13A8A" w:rsidP="005048CF">
      <w:pPr>
        <w:spacing w:line="480" w:lineRule="auto"/>
        <w:rPr>
          <w:b/>
        </w:rPr>
      </w:pPr>
      <w:r>
        <w:rPr>
          <w:b/>
        </w:rPr>
        <w:t>American Books</w:t>
      </w:r>
      <w:r w:rsidR="00E948D2">
        <w:rPr>
          <w:b/>
        </w:rPr>
        <w:t>: The Many</w:t>
      </w:r>
    </w:p>
    <w:p w:rsidR="006D4E79" w:rsidRPr="00F50664" w:rsidRDefault="00F96765" w:rsidP="00F344E6">
      <w:pPr>
        <w:spacing w:line="480" w:lineRule="auto"/>
        <w:ind w:right="-360"/>
      </w:pPr>
      <w:r>
        <w:t xml:space="preserve">Although she wrote only ten </w:t>
      </w:r>
      <w:r w:rsidR="00EE1767">
        <w:t>novels</w:t>
      </w:r>
      <w:r>
        <w:t xml:space="preserve"> and three shorter pieces</w:t>
      </w:r>
      <w:r w:rsidR="00EE1767">
        <w:t xml:space="preserve">, </w:t>
      </w:r>
      <w:proofErr w:type="spellStart"/>
      <w:r w:rsidR="00EE1767">
        <w:t>Marlitt</w:t>
      </w:r>
      <w:proofErr w:type="spellEnd"/>
      <w:r w:rsidR="00EE1767">
        <w:t xml:space="preserve"> numbered among the </w:t>
      </w:r>
      <w:r w:rsidR="00FF7012">
        <w:t xml:space="preserve">German authors </w:t>
      </w:r>
      <w:r w:rsidR="00EE1767">
        <w:t xml:space="preserve">most frequently </w:t>
      </w:r>
      <w:r w:rsidR="00FF7012">
        <w:t>translated in nineteenth-</w:t>
      </w:r>
      <w:r w:rsidR="00EE1767">
        <w:t>century</w:t>
      </w:r>
      <w:r w:rsidR="00FF7012">
        <w:t xml:space="preserve"> America, ranking </w:t>
      </w:r>
      <w:r w:rsidR="00DF2F0B">
        <w:t xml:space="preserve">fifteenth </w:t>
      </w:r>
      <w:r w:rsidR="00FF7012">
        <w:t xml:space="preserve">in </w:t>
      </w:r>
      <w:proofErr w:type="spellStart"/>
      <w:r w:rsidR="00DF2F0B">
        <w:t>Pochmann’s</w:t>
      </w:r>
      <w:proofErr w:type="spellEnd"/>
      <w:r w:rsidR="00DF2F0B">
        <w:t xml:space="preserve"> summary of all German authors translated</w:t>
      </w:r>
      <w:r w:rsidR="004F7D66">
        <w:t xml:space="preserve"> and fourth under </w:t>
      </w:r>
      <w:r w:rsidR="008B7D78" w:rsidRPr="00690575">
        <w:t>“l</w:t>
      </w:r>
      <w:r w:rsidR="008B7D78">
        <w:t>esser fiction and prose writers</w:t>
      </w:r>
      <w:r w:rsidR="004F7D66">
        <w:t>.</w:t>
      </w:r>
      <w:r w:rsidR="008B7D78">
        <w:t>”</w:t>
      </w:r>
      <w:r w:rsidR="008B7D78" w:rsidRPr="00690575">
        <w:rPr>
          <w:rStyle w:val="EndnoteReference"/>
        </w:rPr>
        <w:endnoteReference w:id="11"/>
      </w:r>
      <w:r>
        <w:t xml:space="preserve"> </w:t>
      </w:r>
      <w:r w:rsidR="00E06BA0">
        <w:t>Evidence for her popula</w:t>
      </w:r>
      <w:r w:rsidR="00C02E2D">
        <w:t>rity in America is legion and</w:t>
      </w:r>
      <w:r w:rsidR="00D171FF">
        <w:t xml:space="preserve"> </w:t>
      </w:r>
      <w:r w:rsidR="00E06BA0">
        <w:t xml:space="preserve">especially </w:t>
      </w:r>
      <w:r w:rsidR="00C02E2D">
        <w:t xml:space="preserve">so </w:t>
      </w:r>
      <w:r w:rsidR="00FF7012">
        <w:t>in the case of</w:t>
      </w:r>
      <w:r w:rsidR="00E06BA0">
        <w:t xml:space="preserve"> </w:t>
      </w:r>
      <w:r w:rsidR="00F344E6">
        <w:rPr>
          <w:i/>
        </w:rPr>
        <w:t xml:space="preserve">The Old </w:t>
      </w:r>
      <w:proofErr w:type="spellStart"/>
      <w:r w:rsidR="00F344E6">
        <w:rPr>
          <w:i/>
        </w:rPr>
        <w:t>Mam’selle’s</w:t>
      </w:r>
      <w:proofErr w:type="spellEnd"/>
      <w:r w:rsidR="00F344E6">
        <w:rPr>
          <w:i/>
        </w:rPr>
        <w:t xml:space="preserve"> </w:t>
      </w:r>
      <w:r w:rsidR="004F1F95">
        <w:rPr>
          <w:i/>
        </w:rPr>
        <w:t>S</w:t>
      </w:r>
      <w:r w:rsidR="001A7B84" w:rsidRPr="001A7B84">
        <w:rPr>
          <w:i/>
        </w:rPr>
        <w:t>ecret</w:t>
      </w:r>
      <w:r w:rsidR="00E06BA0">
        <w:t>. Americans</w:t>
      </w:r>
      <w:r w:rsidR="006612B1">
        <w:t xml:space="preserve">—from </w:t>
      </w:r>
      <w:r w:rsidR="00E06BA0">
        <w:t>Mark Twain</w:t>
      </w:r>
      <w:r w:rsidR="004F1F95">
        <w:t>, who pronounced it an “Excellent German novel,”</w:t>
      </w:r>
      <w:r w:rsidR="00E06BA0">
        <w:t xml:space="preserve"> to thirteen-year-old Agnes Hamilton of Fort Wayne, Indiana—</w:t>
      </w:r>
      <w:r w:rsidR="0086130A">
        <w:t xml:space="preserve">eagerly </w:t>
      </w:r>
      <w:r w:rsidR="00F344E6">
        <w:t>read this novel</w:t>
      </w:r>
      <w:r w:rsidR="00E06BA0">
        <w:t>.</w:t>
      </w:r>
      <w:r w:rsidR="0062525B">
        <w:rPr>
          <w:rStyle w:val="EndnoteReference"/>
        </w:rPr>
        <w:endnoteReference w:id="12"/>
      </w:r>
      <w:r w:rsidR="00E06BA0">
        <w:t xml:space="preserve"> </w:t>
      </w:r>
      <w:r w:rsidR="004F7D66">
        <w:t xml:space="preserve">In 1881, </w:t>
      </w:r>
      <w:r w:rsidR="00880C59">
        <w:t>Agnes pronounced the novel</w:t>
      </w:r>
      <w:r w:rsidR="004F7D66">
        <w:t xml:space="preserve"> “</w:t>
      </w:r>
      <w:r w:rsidR="00E06BA0">
        <w:t>splendid.” F</w:t>
      </w:r>
      <w:r w:rsidR="00880C59">
        <w:t xml:space="preserve">ourteen years later </w:t>
      </w:r>
      <w:r w:rsidR="00F50664">
        <w:t>she</w:t>
      </w:r>
      <w:r w:rsidR="003D08D3">
        <w:t xml:space="preserve"> was eager</w:t>
      </w:r>
      <w:r w:rsidR="00E06BA0">
        <w:t xml:space="preserve"> </w:t>
      </w:r>
      <w:r w:rsidR="004F7D66">
        <w:t xml:space="preserve">to reread </w:t>
      </w:r>
      <w:r w:rsidR="00E06BA0">
        <w:t>the novel</w:t>
      </w:r>
      <w:r w:rsidR="009577E7">
        <w:t>—</w:t>
      </w:r>
      <w:r w:rsidR="004F7D66">
        <w:t>and not for the first time</w:t>
      </w:r>
      <w:r w:rsidR="006D4E79">
        <w:t>.</w:t>
      </w:r>
      <w:r w:rsidR="00E06BA0" w:rsidRPr="00320FC8">
        <w:rPr>
          <w:rStyle w:val="EndnoteReference"/>
        </w:rPr>
        <w:endnoteReference w:id="13"/>
      </w:r>
      <w:r w:rsidR="00E06BA0">
        <w:t xml:space="preserve"> </w:t>
      </w:r>
      <w:r w:rsidR="00F50664">
        <w:t xml:space="preserve">Early American reviews praise </w:t>
      </w:r>
      <w:proofErr w:type="spellStart"/>
      <w:r w:rsidR="00F50664">
        <w:t>Marlitt’s</w:t>
      </w:r>
      <w:proofErr w:type="spellEnd"/>
      <w:r w:rsidR="00E06BA0">
        <w:t xml:space="preserve"> novel, even c</w:t>
      </w:r>
      <w:r w:rsidR="00D77F2C">
        <w:t>omparing it favorably with Tha</w:t>
      </w:r>
      <w:r w:rsidR="00FF7012">
        <w:t>c</w:t>
      </w:r>
      <w:r w:rsidR="00D77F2C">
        <w:t>ke</w:t>
      </w:r>
      <w:r w:rsidR="00E06BA0">
        <w:t>ray’s work</w:t>
      </w:r>
      <w:r w:rsidR="00C02E2D">
        <w:t>s</w:t>
      </w:r>
      <w:r w:rsidR="00E06BA0">
        <w:t>.</w:t>
      </w:r>
      <w:r w:rsidR="00E06BA0">
        <w:rPr>
          <w:rStyle w:val="EndnoteReference"/>
        </w:rPr>
        <w:endnoteReference w:id="14"/>
      </w:r>
      <w:r w:rsidR="00E06BA0">
        <w:t xml:space="preserve">  </w:t>
      </w:r>
      <w:r w:rsidR="00F50664">
        <w:t xml:space="preserve">Not surprisingly, issues and editions of </w:t>
      </w:r>
      <w:r w:rsidR="00292F8B">
        <w:rPr>
          <w:i/>
        </w:rPr>
        <w:t xml:space="preserve">The Old </w:t>
      </w:r>
      <w:proofErr w:type="spellStart"/>
      <w:r w:rsidR="00292F8B">
        <w:rPr>
          <w:i/>
        </w:rPr>
        <w:t>Mam’selle’s</w:t>
      </w:r>
      <w:proofErr w:type="spellEnd"/>
      <w:r w:rsidR="00292F8B">
        <w:rPr>
          <w:i/>
        </w:rPr>
        <w:t xml:space="preserve"> S</w:t>
      </w:r>
      <w:r w:rsidR="00F50664">
        <w:rPr>
          <w:i/>
        </w:rPr>
        <w:t xml:space="preserve">ecret </w:t>
      </w:r>
      <w:r w:rsidR="00F50664">
        <w:t>proliferate</w:t>
      </w:r>
      <w:r w:rsidR="005048CF">
        <w:t>d.</w:t>
      </w:r>
    </w:p>
    <w:p w:rsidR="00A74A88" w:rsidRDefault="00A3684A" w:rsidP="006D4E79">
      <w:pPr>
        <w:spacing w:line="480" w:lineRule="auto"/>
        <w:ind w:right="-360" w:firstLine="720"/>
      </w:pPr>
      <w:r>
        <w:t xml:space="preserve">To date I have identified </w:t>
      </w:r>
      <w:commentRangeStart w:id="0"/>
      <w:r w:rsidR="00FC792B">
        <w:rPr>
          <w:highlight w:val="green"/>
        </w:rPr>
        <w:t>104</w:t>
      </w:r>
      <w:commentRangeEnd w:id="0"/>
      <w:r w:rsidR="00F940FB">
        <w:rPr>
          <w:rStyle w:val="CommentReference"/>
          <w:vanish/>
        </w:rPr>
        <w:commentReference w:id="0"/>
      </w:r>
      <w:r w:rsidR="003967EC">
        <w:t xml:space="preserve"> distinct </w:t>
      </w:r>
      <w:r w:rsidR="00E71308">
        <w:t>America</w:t>
      </w:r>
      <w:r w:rsidR="00AB4D97">
        <w:t>n</w:t>
      </w:r>
      <w:r w:rsidR="00E71308">
        <w:t xml:space="preserve"> </w:t>
      </w:r>
      <w:r w:rsidR="003967EC">
        <w:t xml:space="preserve">issues of </w:t>
      </w:r>
      <w:r w:rsidR="003967EC">
        <w:rPr>
          <w:i/>
        </w:rPr>
        <w:t xml:space="preserve">The Old </w:t>
      </w:r>
      <w:proofErr w:type="spellStart"/>
      <w:r w:rsidR="003967EC">
        <w:rPr>
          <w:i/>
        </w:rPr>
        <w:t>Mam’selle’s</w:t>
      </w:r>
      <w:proofErr w:type="spellEnd"/>
      <w:r w:rsidR="003967EC">
        <w:rPr>
          <w:i/>
        </w:rPr>
        <w:t xml:space="preserve"> Secret</w:t>
      </w:r>
      <w:r w:rsidR="00E71308">
        <w:t xml:space="preserve"> </w:t>
      </w:r>
      <w:r w:rsidR="00C02E2D">
        <w:t xml:space="preserve">in its three American renderings. </w:t>
      </w:r>
      <w:r w:rsidR="00A03708">
        <w:t xml:space="preserve">The </w:t>
      </w:r>
      <w:r w:rsidR="00D171FF">
        <w:t xml:space="preserve">examination of </w:t>
      </w:r>
      <w:r w:rsidR="00612F83">
        <w:rPr>
          <w:highlight w:val="cyan"/>
        </w:rPr>
        <w:t>sixty-two</w:t>
      </w:r>
      <w:r w:rsidR="00CC1B17">
        <w:t xml:space="preserve"> exemplars has</w:t>
      </w:r>
      <w:r w:rsidR="006612B1">
        <w:t xml:space="preserve"> furthermore</w:t>
      </w:r>
      <w:r w:rsidR="00CC1B17">
        <w:t xml:space="preserve"> enabled me to untangle</w:t>
      </w:r>
      <w:r w:rsidR="008B4CBC">
        <w:t xml:space="preserve"> and sketch out</w:t>
      </w:r>
      <w:r w:rsidR="006612B1">
        <w:t xml:space="preserve"> its publication history</w:t>
      </w:r>
      <w:r w:rsidR="002712A2">
        <w:rPr>
          <w:i/>
        </w:rPr>
        <w:t xml:space="preserve"> </w:t>
      </w:r>
      <w:r w:rsidR="004F7D66">
        <w:t>in the United States from 186</w:t>
      </w:r>
      <w:r w:rsidR="004A320F">
        <w:t>8 to approximately1926. Figure 1</w:t>
      </w:r>
      <w:r w:rsidR="00B8374D">
        <w:t xml:space="preserve"> offers </w:t>
      </w:r>
      <w:proofErr w:type="gramStart"/>
      <w:r w:rsidR="00B8374D">
        <w:t>a</w:t>
      </w:r>
      <w:r w:rsidR="002D73BF">
        <w:t xml:space="preserve"> </w:t>
      </w:r>
      <w:r w:rsidR="00B8374D">
        <w:t>visualization</w:t>
      </w:r>
      <w:proofErr w:type="gramEnd"/>
      <w:r w:rsidR="002D73BF">
        <w:t xml:space="preserve">, based on these </w:t>
      </w:r>
      <w:r w:rsidR="00FC792B" w:rsidRPr="00FC792B">
        <w:rPr>
          <w:highlight w:val="cyan"/>
        </w:rPr>
        <w:t>s</w:t>
      </w:r>
      <w:r w:rsidR="00612F83">
        <w:rPr>
          <w:highlight w:val="cyan"/>
        </w:rPr>
        <w:t xml:space="preserve">ixty-two </w:t>
      </w:r>
      <w:r w:rsidR="002D73BF">
        <w:t>exemplars,</w:t>
      </w:r>
      <w:r w:rsidR="004F7D66">
        <w:t xml:space="preserve"> of the publishing trajectories of the three American translations; i</w:t>
      </w:r>
      <w:r w:rsidR="00C02E2D">
        <w:t>n the aggregate,</w:t>
      </w:r>
      <w:r w:rsidR="002D73BF">
        <w:t xml:space="preserve"> the three trajectories</w:t>
      </w:r>
      <w:r w:rsidR="00E71308">
        <w:t xml:space="preserve"> reflect a fiercely competitive book industry that</w:t>
      </w:r>
      <w:r w:rsidR="00A74A88">
        <w:t xml:space="preserve"> went into high gear</w:t>
      </w:r>
      <w:r w:rsidR="00E71308">
        <w:t xml:space="preserve"> especially as the </w:t>
      </w:r>
      <w:r w:rsidR="00A74A88">
        <w:t>century waned</w:t>
      </w:r>
      <w:r w:rsidR="00E71308">
        <w:t>.</w:t>
      </w:r>
      <w:r w:rsidR="00E06BA0">
        <w:t xml:space="preserve"> </w:t>
      </w:r>
    </w:p>
    <w:p w:rsidR="00B101FA" w:rsidRDefault="00E71308" w:rsidP="00B101FA">
      <w:pPr>
        <w:spacing w:line="480" w:lineRule="auto"/>
        <w:ind w:right="-360" w:firstLine="720"/>
      </w:pPr>
      <w:r>
        <w:t xml:space="preserve">The </w:t>
      </w:r>
      <w:r w:rsidR="004F7D66">
        <w:t>first and best-loved</w:t>
      </w:r>
      <w:r w:rsidR="00E06BA0">
        <w:t xml:space="preserve"> trans</w:t>
      </w:r>
      <w:r w:rsidR="00B331D5">
        <w:t xml:space="preserve">lation by </w:t>
      </w:r>
      <w:proofErr w:type="spellStart"/>
      <w:r w:rsidR="00B331D5">
        <w:t>Annis</w:t>
      </w:r>
      <w:proofErr w:type="spellEnd"/>
      <w:r w:rsidR="00B331D5">
        <w:t xml:space="preserve"> </w:t>
      </w:r>
      <w:r w:rsidR="006612B1">
        <w:t>Lee Wister, which</w:t>
      </w:r>
      <w:r w:rsidR="00B331D5">
        <w:t xml:space="preserve"> Lippincott, used to</w:t>
      </w:r>
      <w:r w:rsidR="006612B1">
        <w:t xml:space="preserve"> leverage Wister’s</w:t>
      </w:r>
      <w:r w:rsidR="00E06BA0">
        <w:t xml:space="preserve"> career</w:t>
      </w:r>
      <w:r w:rsidR="004F7D66">
        <w:t xml:space="preserve"> and his sales</w:t>
      </w:r>
      <w:r w:rsidR="00E06BA0">
        <w:t xml:space="preserve">, was reprinted steadily </w:t>
      </w:r>
      <w:r w:rsidR="004F7D66">
        <w:t>from 1868 to 1911</w:t>
      </w:r>
      <w:r>
        <w:t>.</w:t>
      </w:r>
      <w:r>
        <w:rPr>
          <w:rStyle w:val="EndnoteReference"/>
        </w:rPr>
        <w:endnoteReference w:id="15"/>
      </w:r>
      <w:r>
        <w:t xml:space="preserve"> </w:t>
      </w:r>
      <w:r w:rsidR="00A74A88">
        <w:t>Lippincott used the same p</w:t>
      </w:r>
      <w:r w:rsidR="004F7D66">
        <w:t>lates throughout</w:t>
      </w:r>
      <w:r w:rsidR="00A74A88">
        <w:t>, b</w:t>
      </w:r>
      <w:r w:rsidR="00B331D5">
        <w:t>ut repackaged</w:t>
      </w:r>
      <w:r w:rsidR="004F7D66">
        <w:t xml:space="preserve"> the novel with new bindings</w:t>
      </w:r>
      <w:r w:rsidR="00A74A88">
        <w:t xml:space="preserve">, sometimes affiliating the book with other </w:t>
      </w:r>
      <w:r w:rsidR="00B101FA">
        <w:t xml:space="preserve">Wister translations of </w:t>
      </w:r>
      <w:proofErr w:type="spellStart"/>
      <w:r w:rsidR="00B101FA">
        <w:t>Marlitt</w:t>
      </w:r>
      <w:proofErr w:type="spellEnd"/>
      <w:r w:rsidR="00B101FA">
        <w:t xml:space="preserve"> </w:t>
      </w:r>
      <w:r w:rsidR="00B331D5">
        <w:t>novel</w:t>
      </w:r>
      <w:r w:rsidR="00DF2F0B">
        <w:t>s</w:t>
      </w:r>
      <w:r w:rsidR="00B331D5">
        <w:t xml:space="preserve"> </w:t>
      </w:r>
      <w:r w:rsidR="00B101FA">
        <w:t>and sometimes as one in a series of W</w:t>
      </w:r>
      <w:r w:rsidR="0042739B">
        <w:t>ister’s “popular works from</w:t>
      </w:r>
      <w:r w:rsidR="00B101FA">
        <w:t xml:space="preserve"> the German.</w:t>
      </w:r>
      <w:r w:rsidR="0042739B">
        <w:t>”</w:t>
      </w:r>
      <w:r w:rsidR="00B101FA">
        <w:t xml:space="preserve"> </w:t>
      </w:r>
      <w:r w:rsidR="0075140F">
        <w:t>Over the course of the ensuing decades</w:t>
      </w:r>
      <w:r w:rsidR="00CC1B17">
        <w:t>,</w:t>
      </w:r>
      <w:r w:rsidR="0020207C">
        <w:t xml:space="preserve"> the plain bindings of the early years </w:t>
      </w:r>
      <w:r w:rsidR="00DF2F0B">
        <w:t xml:space="preserve">often </w:t>
      </w:r>
      <w:r w:rsidR="0020207C">
        <w:t>gave way to more ornate variations</w:t>
      </w:r>
      <w:r w:rsidR="0075140F">
        <w:t xml:space="preserve">, as in the 1879 and 1890 editions shown </w:t>
      </w:r>
      <w:r w:rsidR="0075140F" w:rsidRPr="00A21271">
        <w:rPr>
          <w:highlight w:val="cyan"/>
        </w:rPr>
        <w:t>in Figure 2</w:t>
      </w:r>
      <w:r w:rsidR="0020207C" w:rsidRPr="00A21271">
        <w:rPr>
          <w:highlight w:val="cyan"/>
        </w:rPr>
        <w:t>.</w:t>
      </w:r>
      <w:r w:rsidR="0075140F">
        <w:t xml:space="preserve">  The motif of the cover of the 1890 edition reappears in exemplars of the 1893 and 18</w:t>
      </w:r>
      <w:r w:rsidR="009E0671">
        <w:t xml:space="preserve">96 editions and also serves as the cover design for a raft of additional Wister translations. </w:t>
      </w:r>
      <w:r w:rsidR="00BA56B7">
        <w:t>Lippincott normally char</w:t>
      </w:r>
      <w:r w:rsidR="009E0671">
        <w:t>ged $1.25 to $1.50 for the novels Wister translated</w:t>
      </w:r>
      <w:r w:rsidR="00BA56B7">
        <w:t xml:space="preserve">, but </w:t>
      </w:r>
      <w:r w:rsidR="0002240E">
        <w:t xml:space="preserve">responded </w:t>
      </w:r>
      <w:r w:rsidR="00B06C9E">
        <w:t xml:space="preserve">in 1887 </w:t>
      </w:r>
      <w:r w:rsidR="0002240E">
        <w:t xml:space="preserve">to </w:t>
      </w:r>
      <w:r w:rsidR="006612B1">
        <w:t xml:space="preserve">new </w:t>
      </w:r>
      <w:r w:rsidR="00B101FA">
        <w:t>competition by publishing</w:t>
      </w:r>
      <w:r w:rsidR="006612B1">
        <w:t xml:space="preserve"> a </w:t>
      </w:r>
      <w:r w:rsidR="00A03708">
        <w:t xml:space="preserve">cheap </w:t>
      </w:r>
      <w:r w:rsidR="0042739B">
        <w:t xml:space="preserve">paper cover edition of </w:t>
      </w:r>
      <w:r w:rsidR="00B06C9E">
        <w:rPr>
          <w:i/>
          <w:iCs/>
        </w:rPr>
        <w:t xml:space="preserve">The Old </w:t>
      </w:r>
      <w:proofErr w:type="spellStart"/>
      <w:r w:rsidR="00B06C9E">
        <w:rPr>
          <w:i/>
          <w:iCs/>
        </w:rPr>
        <w:t>Mam’selle’s</w:t>
      </w:r>
      <w:proofErr w:type="spellEnd"/>
      <w:r w:rsidR="00B06C9E">
        <w:rPr>
          <w:i/>
          <w:iCs/>
        </w:rPr>
        <w:t xml:space="preserve"> S</w:t>
      </w:r>
      <w:r w:rsidR="00B101FA" w:rsidRPr="00570242">
        <w:rPr>
          <w:i/>
          <w:iCs/>
        </w:rPr>
        <w:t>ecret</w:t>
      </w:r>
      <w:r w:rsidR="00B06C9E">
        <w:t xml:space="preserve"> with trimmed margins</w:t>
      </w:r>
      <w:r w:rsidR="009E0671">
        <w:t xml:space="preserve"> and priced at twenty-five cents</w:t>
      </w:r>
      <w:r w:rsidR="00B06C9E">
        <w:t>.</w:t>
      </w:r>
      <w:r w:rsidR="00B101FA" w:rsidRPr="00570242">
        <w:rPr>
          <w:rStyle w:val="EndnoteReference"/>
        </w:rPr>
        <w:endnoteReference w:id="16"/>
      </w:r>
    </w:p>
    <w:p w:rsidR="00E06BA0" w:rsidRDefault="00B101FA" w:rsidP="006D4E79">
      <w:pPr>
        <w:spacing w:line="480" w:lineRule="auto"/>
        <w:ind w:right="-360" w:firstLine="720"/>
      </w:pPr>
      <w:r>
        <w:t xml:space="preserve"> </w:t>
      </w:r>
      <w:r w:rsidR="00E06BA0" w:rsidRPr="00754870">
        <w:t>When</w:t>
      </w:r>
      <w:r w:rsidR="00E06BA0">
        <w:t xml:space="preserve"> in 1893 the American Library Association assembled a catalog of 5,000 volumes for a popular library exhibited </w:t>
      </w:r>
      <w:r w:rsidR="0042739B">
        <w:t>at the Chicago World’s Fair, Lippincott’s</w:t>
      </w:r>
      <w:r w:rsidR="00E06BA0">
        <w:t xml:space="preserve"> 1892 edition of Wister’s translation of </w:t>
      </w:r>
      <w:r w:rsidR="009E0671">
        <w:rPr>
          <w:i/>
        </w:rPr>
        <w:t xml:space="preserve">The Old </w:t>
      </w:r>
      <w:proofErr w:type="spellStart"/>
      <w:r w:rsidR="009E0671">
        <w:rPr>
          <w:i/>
        </w:rPr>
        <w:t>Mam’selle’s</w:t>
      </w:r>
      <w:proofErr w:type="spellEnd"/>
      <w:r w:rsidR="009E0671">
        <w:rPr>
          <w:i/>
        </w:rPr>
        <w:t xml:space="preserve"> S</w:t>
      </w:r>
      <w:r w:rsidR="00E06BA0">
        <w:rPr>
          <w:i/>
        </w:rPr>
        <w:t>ecret</w:t>
      </w:r>
      <w:r w:rsidR="00E06BA0">
        <w:t xml:space="preserve"> appeared on thi</w:t>
      </w:r>
      <w:r w:rsidR="00DF2F0B">
        <w:t xml:space="preserve">s list </w:t>
      </w:r>
      <w:r w:rsidR="00E06BA0">
        <w:t xml:space="preserve">under </w:t>
      </w:r>
      <w:r w:rsidR="00B331D5">
        <w:t xml:space="preserve">both </w:t>
      </w:r>
      <w:proofErr w:type="spellStart"/>
      <w:r w:rsidR="00AB4D97">
        <w:t>Marlitt’s</w:t>
      </w:r>
      <w:proofErr w:type="spellEnd"/>
      <w:r w:rsidR="00AB4D97">
        <w:t xml:space="preserve"> and </w:t>
      </w:r>
      <w:r w:rsidR="00E06BA0">
        <w:t>Wister’s name</w:t>
      </w:r>
      <w:r w:rsidR="00B331D5">
        <w:t>s</w:t>
      </w:r>
      <w:r w:rsidR="00E06BA0">
        <w:t>.</w:t>
      </w:r>
      <w:r w:rsidR="00E06BA0">
        <w:rPr>
          <w:rStyle w:val="EndnoteReference"/>
        </w:rPr>
        <w:endnoteReference w:id="17"/>
      </w:r>
      <w:r w:rsidR="00E71308">
        <w:t xml:space="preserve"> </w:t>
      </w:r>
      <w:r w:rsidR="004F7D66">
        <w:t>Indeed, many Americans</w:t>
      </w:r>
      <w:r w:rsidR="0042739B">
        <w:t xml:space="preserve"> regarded Wister’s English a</w:t>
      </w:r>
      <w:r w:rsidR="004F718C">
        <w:t>s “</w:t>
      </w:r>
      <w:r w:rsidR="00B06C9E">
        <w:t xml:space="preserve">even </w:t>
      </w:r>
      <w:r w:rsidR="00E06BA0">
        <w:t>superior to the orig</w:t>
      </w:r>
      <w:r w:rsidR="00E71308">
        <w:t xml:space="preserve">inal.” </w:t>
      </w:r>
      <w:r w:rsidR="009E0671" w:rsidRPr="009E0671">
        <w:rPr>
          <w:highlight w:val="green"/>
        </w:rPr>
        <w:t>As I have outlined elsewhere in detail, t</w:t>
      </w:r>
      <w:r w:rsidR="00E06BA0" w:rsidRPr="009E0671">
        <w:rPr>
          <w:highlight w:val="green"/>
        </w:rPr>
        <w:t>his notion</w:t>
      </w:r>
      <w:r w:rsidR="00292F8B">
        <w:rPr>
          <w:highlight w:val="green"/>
        </w:rPr>
        <w:t xml:space="preserve"> </w:t>
      </w:r>
      <w:r w:rsidR="00B06C9E" w:rsidRPr="009E0671">
        <w:rPr>
          <w:highlight w:val="green"/>
        </w:rPr>
        <w:t>of</w:t>
      </w:r>
      <w:r w:rsidR="00B06C9E">
        <w:t xml:space="preserve"> superiority</w:t>
      </w:r>
      <w:r w:rsidR="00292F8B">
        <w:t xml:space="preserve"> long</w:t>
      </w:r>
      <w:r w:rsidR="00B06C9E">
        <w:t xml:space="preserve"> </w:t>
      </w:r>
      <w:r w:rsidR="0042739B">
        <w:t>shap</w:t>
      </w:r>
      <w:r w:rsidR="00E06BA0">
        <w:t xml:space="preserve">ed </w:t>
      </w:r>
      <w:r w:rsidR="0042739B">
        <w:t xml:space="preserve">the reception of </w:t>
      </w:r>
      <w:r w:rsidR="00B06C9E">
        <w:t>Wister’s translation</w:t>
      </w:r>
      <w:r w:rsidR="00A21271">
        <w:t>s</w:t>
      </w:r>
      <w:r w:rsidR="00E06BA0">
        <w:t>.</w:t>
      </w:r>
      <w:r w:rsidR="00E06BA0">
        <w:rPr>
          <w:rStyle w:val="EndnoteReference"/>
        </w:rPr>
        <w:endnoteReference w:id="18"/>
      </w:r>
      <w:r w:rsidR="00E06BA0">
        <w:t xml:space="preserve"> </w:t>
      </w:r>
      <w:r w:rsidR="004F7D66">
        <w:t>A</w:t>
      </w:r>
      <w:r w:rsidR="00292F8B">
        <w:t>merican library catalogues such as that for the Carnegie Library of Pittsburgh further facilitated</w:t>
      </w:r>
      <w:r w:rsidR="004F7D66">
        <w:t xml:space="preserve"> </w:t>
      </w:r>
      <w:r w:rsidR="00C02E2D">
        <w:t>the</w:t>
      </w:r>
      <w:r w:rsidR="00E06BA0">
        <w:t xml:space="preserve"> transformation</w:t>
      </w:r>
      <w:r w:rsidR="00A245E9">
        <w:t xml:space="preserve"> of Wister’s r</w:t>
      </w:r>
      <w:r w:rsidR="00C02E2D">
        <w:t xml:space="preserve">endering </w:t>
      </w:r>
      <w:r w:rsidR="00A21271">
        <w:t xml:space="preserve">of </w:t>
      </w:r>
      <w:r w:rsidR="00A21271">
        <w:rPr>
          <w:i/>
        </w:rPr>
        <w:t xml:space="preserve">The Old </w:t>
      </w:r>
      <w:proofErr w:type="spellStart"/>
      <w:r w:rsidR="00A21271">
        <w:rPr>
          <w:i/>
        </w:rPr>
        <w:t>Mam’selle’s</w:t>
      </w:r>
      <w:proofErr w:type="spellEnd"/>
      <w:r w:rsidR="00A21271">
        <w:rPr>
          <w:i/>
        </w:rPr>
        <w:t xml:space="preserve"> Secret </w:t>
      </w:r>
      <w:r w:rsidR="00C02E2D">
        <w:t>from a Ge</w:t>
      </w:r>
      <w:r w:rsidR="0042739B">
        <w:t>rman novel to an American artifact by list</w:t>
      </w:r>
      <w:r w:rsidR="00C02E2D">
        <w:t>ing it</w:t>
      </w:r>
      <w:r w:rsidR="00E06BA0">
        <w:t xml:space="preserve"> along with other such translations from the German, under “English fiction.”</w:t>
      </w:r>
      <w:r w:rsidR="00E06BA0">
        <w:rPr>
          <w:rStyle w:val="EndnoteReference"/>
        </w:rPr>
        <w:endnoteReference w:id="19"/>
      </w:r>
      <w:r w:rsidR="00E06BA0">
        <w:t xml:space="preserve"> </w:t>
      </w:r>
    </w:p>
    <w:p w:rsidR="009E0671" w:rsidRDefault="00292F8B" w:rsidP="00D94805">
      <w:pPr>
        <w:spacing w:line="480" w:lineRule="auto"/>
        <w:ind w:right="-360" w:firstLine="720"/>
      </w:pPr>
      <w:r>
        <w:t>New publishers stepped in</w:t>
      </w:r>
      <w:r w:rsidR="004F7D66">
        <w:t xml:space="preserve">to the fray in the 1880s. </w:t>
      </w:r>
      <w:r w:rsidR="00B101FA">
        <w:t>I</w:t>
      </w:r>
      <w:r w:rsidR="0002240E">
        <w:t xml:space="preserve">n 1882, </w:t>
      </w:r>
      <w:r w:rsidR="00E06BA0">
        <w:t xml:space="preserve">Munro published </w:t>
      </w:r>
      <w:r w:rsidR="003A3630">
        <w:t xml:space="preserve">Mary Stuart Smith’s new </w:t>
      </w:r>
      <w:r w:rsidR="00E06BA0">
        <w:t xml:space="preserve">translation of </w:t>
      </w:r>
      <w:r w:rsidR="009E0671">
        <w:rPr>
          <w:i/>
          <w:iCs/>
        </w:rPr>
        <w:t xml:space="preserve">The Old </w:t>
      </w:r>
      <w:proofErr w:type="spellStart"/>
      <w:r w:rsidR="009E0671">
        <w:rPr>
          <w:i/>
          <w:iCs/>
        </w:rPr>
        <w:t>Mam’selle’s</w:t>
      </w:r>
      <w:proofErr w:type="spellEnd"/>
      <w:r w:rsidR="009E0671">
        <w:rPr>
          <w:i/>
          <w:iCs/>
        </w:rPr>
        <w:t xml:space="preserve"> S</w:t>
      </w:r>
      <w:r w:rsidR="00E06BA0" w:rsidRPr="00C079F3">
        <w:rPr>
          <w:i/>
          <w:iCs/>
        </w:rPr>
        <w:t xml:space="preserve">ecret </w:t>
      </w:r>
      <w:r w:rsidR="00E06BA0">
        <w:t>in his popular Seaside Library</w:t>
      </w:r>
      <w:r w:rsidR="00AB4D97">
        <w:t>,</w:t>
      </w:r>
      <w:r w:rsidR="0042739B">
        <w:t xml:space="preserve"> </w:t>
      </w:r>
      <w:r w:rsidR="00B06C9E">
        <w:t xml:space="preserve">printed in double columns and </w:t>
      </w:r>
      <w:r w:rsidR="00271FCA">
        <w:t>priced at</w:t>
      </w:r>
      <w:r w:rsidR="00DE50AE">
        <w:t xml:space="preserve"> twenty </w:t>
      </w:r>
      <w:r w:rsidR="00B101FA">
        <w:t>cents a copy</w:t>
      </w:r>
      <w:r w:rsidR="0042739B">
        <w:t>, and four years later released it</w:t>
      </w:r>
      <w:r w:rsidR="00A03708">
        <w:t xml:space="preserve"> in a </w:t>
      </w:r>
      <w:r w:rsidR="0042739B">
        <w:t>Seaside Pocket Edition</w:t>
      </w:r>
      <w:r w:rsidR="00E06BA0">
        <w:t>.</w:t>
      </w:r>
      <w:r w:rsidR="00E06BA0">
        <w:rPr>
          <w:rStyle w:val="EndnoteReference"/>
        </w:rPr>
        <w:endnoteReference w:id="20"/>
      </w:r>
      <w:r w:rsidR="00B101FA">
        <w:t xml:space="preserve"> Late in the century, </w:t>
      </w:r>
      <w:proofErr w:type="spellStart"/>
      <w:r w:rsidR="00B101FA">
        <w:t>Fenno</w:t>
      </w:r>
      <w:proofErr w:type="spellEnd"/>
      <w:r w:rsidR="00B101FA">
        <w:t xml:space="preserve"> and Hurst acquired Munro’s plates and began publishing Smith’s translat</w:t>
      </w:r>
      <w:r w:rsidR="00D94805">
        <w:t>ion with a variety of bindings.</w:t>
      </w:r>
      <w:r w:rsidR="00B101FA">
        <w:t xml:space="preserve">  </w:t>
      </w:r>
    </w:p>
    <w:p w:rsidR="001D0144" w:rsidRDefault="00984FCD" w:rsidP="00D94805">
      <w:pPr>
        <w:spacing w:line="480" w:lineRule="auto"/>
        <w:ind w:right="-360" w:firstLine="720"/>
      </w:pPr>
      <w:r>
        <w:t xml:space="preserve">A third translation by </w:t>
      </w:r>
      <w:r w:rsidR="00271FCA">
        <w:t>E. H.</w:t>
      </w:r>
      <w:r w:rsidR="00B331D5">
        <w:t xml:space="preserve"> </w:t>
      </w:r>
      <w:r>
        <w:t xml:space="preserve">appeared </w:t>
      </w:r>
      <w:r w:rsidR="00B331D5">
        <w:t>with Lovell</w:t>
      </w:r>
      <w:r w:rsidR="00271FCA">
        <w:t xml:space="preserve"> </w:t>
      </w:r>
      <w:r w:rsidR="00E06BA0" w:rsidRPr="00570242">
        <w:t xml:space="preserve">in </w:t>
      </w:r>
      <w:r w:rsidR="00D94805">
        <w:t>1887</w:t>
      </w:r>
      <w:r w:rsidR="00E06BA0" w:rsidRPr="00570242">
        <w:t>.</w:t>
      </w:r>
      <w:r w:rsidR="00E06BA0" w:rsidRPr="00570242">
        <w:rPr>
          <w:rStyle w:val="EndnoteReference"/>
        </w:rPr>
        <w:endnoteReference w:id="21"/>
      </w:r>
      <w:r w:rsidR="00E06BA0" w:rsidRPr="00570242">
        <w:t xml:space="preserve"> </w:t>
      </w:r>
      <w:r w:rsidR="00D94805">
        <w:t>This rendering</w:t>
      </w:r>
      <w:r w:rsidR="0002240E">
        <w:t xml:space="preserve"> was to experience by far the mos</w:t>
      </w:r>
      <w:r w:rsidR="00303785">
        <w:t xml:space="preserve">t </w:t>
      </w:r>
      <w:r w:rsidR="004247DB">
        <w:t>tangled</w:t>
      </w:r>
      <w:r w:rsidR="00271FCA">
        <w:t xml:space="preserve"> publishing history</w:t>
      </w:r>
      <w:r w:rsidR="0002240E">
        <w:t xml:space="preserve">. </w:t>
      </w:r>
      <w:r w:rsidR="00E06BA0" w:rsidRPr="003C44C2">
        <w:t xml:space="preserve">While </w:t>
      </w:r>
      <w:r w:rsidR="00E06BA0">
        <w:t xml:space="preserve">Munro and Lippincott </w:t>
      </w:r>
      <w:r w:rsidR="000A091A">
        <w:t xml:space="preserve">apparently </w:t>
      </w:r>
      <w:r w:rsidR="00292F8B">
        <w:t>long retained exclusive</w:t>
      </w:r>
      <w:r w:rsidR="00E06BA0" w:rsidRPr="003C44C2">
        <w:t xml:space="preserve"> rights to Smith’s and Wister’s translations respectively, new editions and reprint editions of E. </w:t>
      </w:r>
      <w:proofErr w:type="spellStart"/>
      <w:r w:rsidR="00E06BA0" w:rsidRPr="003C44C2">
        <w:t>H.’s</w:t>
      </w:r>
      <w:proofErr w:type="spellEnd"/>
      <w:r w:rsidR="00E06BA0" w:rsidRPr="003C44C2">
        <w:t xml:space="preserve"> translation prolif</w:t>
      </w:r>
      <w:r w:rsidR="0002240E">
        <w:t>erated</w:t>
      </w:r>
      <w:r w:rsidR="00D94805">
        <w:t xml:space="preserve"> as </w:t>
      </w:r>
      <w:r w:rsidR="00E06BA0" w:rsidRPr="009C4927">
        <w:t>new</w:t>
      </w:r>
      <w:r w:rsidR="00292F8B">
        <w:t xml:space="preserve"> and aggressive firms published</w:t>
      </w:r>
      <w:r w:rsidR="00E06BA0" w:rsidRPr="009C4927">
        <w:t xml:space="preserve"> the novel in series </w:t>
      </w:r>
      <w:r w:rsidR="00B331D5">
        <w:t xml:space="preserve">and bindings </w:t>
      </w:r>
      <w:r w:rsidR="00E06BA0" w:rsidRPr="009C4927">
        <w:t>meant to address the American novel mania across budgets</w:t>
      </w:r>
      <w:r w:rsidR="00DF2F0B">
        <w:t>, ages, reading preferences,</w:t>
      </w:r>
      <w:r w:rsidR="00E06BA0" w:rsidRPr="009C4927">
        <w:t xml:space="preserve"> and social classes</w:t>
      </w:r>
      <w:r>
        <w:t xml:space="preserve">. </w:t>
      </w:r>
      <w:r w:rsidR="00E06BA0" w:rsidRPr="009C4927">
        <w:t xml:space="preserve">In varieties </w:t>
      </w:r>
      <w:r w:rsidR="0002240E">
        <w:t>of issue</w:t>
      </w:r>
      <w:r w:rsidR="00173585">
        <w:t xml:space="preserve"> and numbers of publishers</w:t>
      </w:r>
      <w:r w:rsidR="00E06BA0">
        <w:t xml:space="preserve">, E. </w:t>
      </w:r>
      <w:proofErr w:type="spellStart"/>
      <w:r w:rsidR="00E06BA0">
        <w:t>H.’s</w:t>
      </w:r>
      <w:proofErr w:type="spellEnd"/>
      <w:r w:rsidR="00E06BA0">
        <w:t xml:space="preserve"> translation in the end outstripped both Wister’s and Smith’s</w:t>
      </w:r>
      <w:r w:rsidR="00173585">
        <w:t xml:space="preserve"> combined</w:t>
      </w:r>
      <w:r w:rsidR="00E06BA0">
        <w:t xml:space="preserve">. </w:t>
      </w:r>
      <w:r w:rsidR="008F0E95">
        <w:t>The lowest branch in Figure 1</w:t>
      </w:r>
      <w:r w:rsidR="00D66F32">
        <w:t xml:space="preserve"> </w:t>
      </w:r>
      <w:r w:rsidR="00E44C54">
        <w:t xml:space="preserve">represents my best guess as to the relationship of </w:t>
      </w:r>
      <w:r w:rsidR="00D94805">
        <w:t xml:space="preserve">forty-nine </w:t>
      </w:r>
      <w:r w:rsidR="008B4CBC">
        <w:t>issues of the E. H. translation</w:t>
      </w:r>
      <w:r w:rsidR="00D94805">
        <w:t xml:space="preserve"> </w:t>
      </w:r>
      <w:r w:rsidR="009B705C">
        <w:t>to one another</w:t>
      </w:r>
      <w:r w:rsidR="006612B1">
        <w:t>, indicating</w:t>
      </w:r>
      <w:r w:rsidR="00A509FB">
        <w:t xml:space="preserve"> how </w:t>
      </w:r>
      <w:r w:rsidR="00834851" w:rsidRPr="00834851">
        <w:t>twenty</w:t>
      </w:r>
      <w:r w:rsidR="00271FCA">
        <w:t xml:space="preserve"> </w:t>
      </w:r>
      <w:r w:rsidR="00E44C54">
        <w:t>publishers shared plates</w:t>
      </w:r>
      <w:r w:rsidR="00834851">
        <w:t xml:space="preserve"> from seven</w:t>
      </w:r>
      <w:r w:rsidR="00271FCA">
        <w:t xml:space="preserve"> different editions</w:t>
      </w:r>
      <w:r w:rsidR="00E44C54">
        <w:t>.</w:t>
      </w:r>
      <w:r w:rsidR="009E0671">
        <w:t xml:space="preserve"> </w:t>
      </w:r>
      <w:r w:rsidR="00054765">
        <w:t xml:space="preserve">Given that </w:t>
      </w:r>
      <w:r w:rsidR="009E0671">
        <w:t xml:space="preserve">this visualization does not include all of the </w:t>
      </w:r>
      <w:r w:rsidR="00054765">
        <w:t xml:space="preserve">issues and </w:t>
      </w:r>
      <w:r w:rsidR="009E0671">
        <w:t>editions of this translation</w:t>
      </w:r>
      <w:r w:rsidR="00054765">
        <w:t>, we must imagine the publication history as still richer than that indicated here</w:t>
      </w:r>
      <w:r w:rsidR="009E0671">
        <w:t>.</w:t>
      </w:r>
      <w:r w:rsidR="00E44C54">
        <w:t xml:space="preserve"> </w:t>
      </w:r>
    </w:p>
    <w:p w:rsidR="00984FCD" w:rsidRDefault="001D0144" w:rsidP="00A03708">
      <w:pPr>
        <w:spacing w:line="480" w:lineRule="auto"/>
        <w:ind w:right="-360" w:firstLine="720"/>
      </w:pPr>
      <w:r>
        <w:t xml:space="preserve">In the 1920s, Sears republished E. </w:t>
      </w:r>
      <w:proofErr w:type="spellStart"/>
      <w:r>
        <w:t>H.s</w:t>
      </w:r>
      <w:proofErr w:type="spellEnd"/>
      <w:r>
        <w:t xml:space="preserve"> version in the “</w:t>
      </w:r>
      <w:r w:rsidRPr="00C04985">
        <w:t xml:space="preserve">American </w:t>
      </w:r>
      <w:r>
        <w:t>Home C</w:t>
      </w:r>
      <w:r w:rsidR="00A03708">
        <w:t xml:space="preserve">lassics” series, thus </w:t>
      </w:r>
      <w:r>
        <w:t xml:space="preserve">indicating the status </w:t>
      </w:r>
      <w:r>
        <w:rPr>
          <w:i/>
        </w:rPr>
        <w:t xml:space="preserve">The Old </w:t>
      </w:r>
      <w:proofErr w:type="spellStart"/>
      <w:r>
        <w:rPr>
          <w:i/>
        </w:rPr>
        <w:t>Mam’selle’s</w:t>
      </w:r>
      <w:proofErr w:type="spellEnd"/>
      <w:r>
        <w:rPr>
          <w:i/>
        </w:rPr>
        <w:t xml:space="preserve"> Secret</w:t>
      </w:r>
      <w:r>
        <w:t xml:space="preserve"> had achieved over sixty years of American reading. No longer contemporary fiction, but now a standard book mass produced for the American home, it had been absorbed into American reading culture; it had become a novel that everybody knew or was suppose to know. As an “American Home Classic,” it stood shoulder to s</w:t>
      </w:r>
      <w:r w:rsidR="00A03708">
        <w:t xml:space="preserve">houlder </w:t>
      </w:r>
      <w:r>
        <w:t>with Englis</w:t>
      </w:r>
      <w:r w:rsidR="009E3ED2">
        <w:t>h-language works—works by American popular authors and classic British authors</w:t>
      </w:r>
      <w:r>
        <w:t>—as well as works written originally in French—novels by Dumas, Balzac, and</w:t>
      </w:r>
      <w:r w:rsidR="009E3ED2">
        <w:t xml:space="preserve"> Daudet, and others—</w:t>
      </w:r>
      <w:r>
        <w:t>that had been appropriated as America’s ow</w:t>
      </w:r>
      <w:r w:rsidR="008F0E95">
        <w:t>n.</w:t>
      </w:r>
      <w:r>
        <w:t xml:space="preserve"> Sears was, however, following a strategy that had been in place for some twenty years: </w:t>
      </w:r>
      <w:r w:rsidR="004E43E1">
        <w:t xml:space="preserve">W. L. Allison (Arundel Series), </w:t>
      </w:r>
      <w:r>
        <w:t>Lupton</w:t>
      </w:r>
      <w:r w:rsidR="008F0E95">
        <w:t xml:space="preserve"> (Stratford Edition)</w:t>
      </w:r>
      <w:r>
        <w:t xml:space="preserve">, </w:t>
      </w:r>
      <w:r w:rsidR="008F0E95">
        <w:t xml:space="preserve">John W. Lovell (Oxford Edition), </w:t>
      </w:r>
      <w:r>
        <w:t>Hu</w:t>
      </w:r>
      <w:r w:rsidR="009E3ED2">
        <w:t>r</w:t>
      </w:r>
      <w:r>
        <w:t>st</w:t>
      </w:r>
      <w:r w:rsidR="008F0E95">
        <w:t xml:space="preserve"> (Companion Books)</w:t>
      </w:r>
      <w:r>
        <w:t>, the International Book Company</w:t>
      </w:r>
      <w:r w:rsidR="008F0E95">
        <w:t xml:space="preserve"> (Columbus Series)</w:t>
      </w:r>
      <w:r>
        <w:t xml:space="preserve">, </w:t>
      </w:r>
      <w:r w:rsidR="00A21271">
        <w:t xml:space="preserve">H. M. </w:t>
      </w:r>
      <w:r w:rsidR="008F0E95">
        <w:t>Caldwell (</w:t>
      </w:r>
      <w:r w:rsidR="004E43E1">
        <w:t xml:space="preserve">Illustrated Library of </w:t>
      </w:r>
      <w:r w:rsidR="008F0E95">
        <w:t xml:space="preserve">Famous Books by Famous Authors) </w:t>
      </w:r>
      <w:r>
        <w:t>and others had sold E. H.’s translation as a classic in cheap series projecting cultural pretention</w:t>
      </w:r>
      <w:r w:rsidR="008F0E95">
        <w:t xml:space="preserve"> available at affordable prices.</w:t>
      </w:r>
    </w:p>
    <w:p w:rsidR="00173585" w:rsidRDefault="001D0144" w:rsidP="0002240E">
      <w:pPr>
        <w:spacing w:line="480" w:lineRule="auto"/>
        <w:ind w:right="-360" w:firstLine="720"/>
      </w:pPr>
      <w:r>
        <w:t>Late in the century t</w:t>
      </w:r>
      <w:r w:rsidR="00F6032E">
        <w:t>he proliferation of cov</w:t>
      </w:r>
      <w:r>
        <w:t xml:space="preserve">ers </w:t>
      </w:r>
      <w:r w:rsidR="00E44C54">
        <w:t>designed to appeal</w:t>
      </w:r>
      <w:r>
        <w:t xml:space="preserve"> to women and girls marked a different ma</w:t>
      </w:r>
      <w:r w:rsidR="004E43E1">
        <w:t>r</w:t>
      </w:r>
      <w:r>
        <w:t xml:space="preserve">keting trend. </w:t>
      </w:r>
      <w:r w:rsidR="00B331D5">
        <w:t>Lippincott</w:t>
      </w:r>
      <w:r>
        <w:t>’s 1890</w:t>
      </w:r>
      <w:r w:rsidR="00B331D5">
        <w:t xml:space="preserve"> </w:t>
      </w:r>
      <w:r w:rsidR="000B01AE">
        <w:t xml:space="preserve">edition </w:t>
      </w:r>
      <w:r>
        <w:t>is a case in poi</w:t>
      </w:r>
      <w:r w:rsidR="008F0E95">
        <w:t xml:space="preserve">nt. </w:t>
      </w:r>
      <w:r w:rsidR="00F6032E">
        <w:t>With the hearts and flowers motif on the cover and Wister’s dashing si</w:t>
      </w:r>
      <w:r w:rsidR="00DF2F0B">
        <w:t>gnature, the binding</w:t>
      </w:r>
      <w:r w:rsidR="00F6032E">
        <w:t xml:space="preserve">, on the one hand, </w:t>
      </w:r>
      <w:r w:rsidR="00DF2F0B">
        <w:t xml:space="preserve">strongly </w:t>
      </w:r>
      <w:r w:rsidR="004247DB">
        <w:t xml:space="preserve">signals </w:t>
      </w:r>
      <w:r w:rsidR="00F6032E">
        <w:t>targeting of a female audience and exploits Wister’s cache</w:t>
      </w:r>
      <w:r w:rsidR="000B01AE">
        <w:t>t</w:t>
      </w:r>
      <w:r w:rsidR="00F6032E">
        <w:t xml:space="preserve"> as arbiter of literature that Americans</w:t>
      </w:r>
      <w:r w:rsidR="00B331D5">
        <w:t xml:space="preserve"> (especially women)</w:t>
      </w:r>
      <w:r w:rsidR="00AE6293">
        <w:t xml:space="preserve"> liked to rea</w:t>
      </w:r>
      <w:r w:rsidR="008F0E95">
        <w:t xml:space="preserve">d. </w:t>
      </w:r>
      <w:r w:rsidR="00303785">
        <w:t>Dono</w:t>
      </w:r>
      <w:r w:rsidR="00F6032E">
        <w:t>hue</w:t>
      </w:r>
      <w:r w:rsidR="008E4971">
        <w:t>, Henneberry, &amp; Co., A. L. Burt, Federal Book Company,</w:t>
      </w:r>
      <w:r w:rsidR="00567735">
        <w:t xml:space="preserve"> </w:t>
      </w:r>
      <w:r w:rsidR="008E4971">
        <w:t>George M. Hill</w:t>
      </w:r>
      <w:r w:rsidR="00F6032E">
        <w:t xml:space="preserve"> and Hurst</w:t>
      </w:r>
      <w:r w:rsidR="00B331D5">
        <w:t xml:space="preserve"> editions and issues likewise produced editions that overtly </w:t>
      </w:r>
      <w:r w:rsidR="00076DD6">
        <w:t>appealed to a female</w:t>
      </w:r>
      <w:r w:rsidR="00F6032E">
        <w:t xml:space="preserve"> audience wit</w:t>
      </w:r>
      <w:r w:rsidR="0081795D">
        <w:t>h cover images of young women</w:t>
      </w:r>
      <w:r w:rsidR="00B331D5">
        <w:t xml:space="preserve"> or flowery “feminine” designs.</w:t>
      </w:r>
      <w:r w:rsidR="0081795D">
        <w:t xml:space="preserve"> </w:t>
      </w:r>
      <w:r w:rsidR="00C82AE2">
        <w:t>In the</w:t>
      </w:r>
      <w:r w:rsidR="00B331D5">
        <w:t xml:space="preserve"> end both strategies</w:t>
      </w:r>
      <w:r>
        <w:t>—classics and hearts and flowers--</w:t>
      </w:r>
      <w:r w:rsidR="00B331D5">
        <w:t>may have had</w:t>
      </w:r>
      <w:r w:rsidR="00C82AE2">
        <w:t xml:space="preserve"> adolescent reader</w:t>
      </w:r>
      <w:r w:rsidR="00B331D5">
        <w:t>s</w:t>
      </w:r>
      <w:r w:rsidR="00C82AE2">
        <w:t xml:space="preserve"> </w:t>
      </w:r>
      <w:r>
        <w:t>in mind.</w:t>
      </w:r>
    </w:p>
    <w:p w:rsidR="00F54EDB" w:rsidRDefault="00A21271" w:rsidP="00F54EDB">
      <w:pPr>
        <w:spacing w:line="480" w:lineRule="auto"/>
        <w:ind w:right="-360" w:firstLine="720"/>
      </w:pPr>
      <w:r>
        <w:t>Thus</w:t>
      </w:r>
      <w:r w:rsidR="004E43E1">
        <w:t xml:space="preserve"> far</w:t>
      </w:r>
      <w:r w:rsidR="00B8374D">
        <w:t>, I have inferred historical</w:t>
      </w:r>
      <w:r w:rsidR="006612B1">
        <w:t xml:space="preserve"> American readers largely from </w:t>
      </w:r>
      <w:r w:rsidR="001D0144">
        <w:t>numbers of editio</w:t>
      </w:r>
      <w:r w:rsidR="00AE6293">
        <w:t>ns, advertising, and packagin</w:t>
      </w:r>
      <w:r w:rsidR="004E43E1">
        <w:t xml:space="preserve">g. </w:t>
      </w:r>
      <w:r w:rsidR="001D0144">
        <w:t>T</w:t>
      </w:r>
      <w:r w:rsidR="00F664AA">
        <w:t>hirty-</w:t>
      </w:r>
      <w:r w:rsidR="00F664AA" w:rsidRPr="00F664AA">
        <w:t>six</w:t>
      </w:r>
      <w:r w:rsidR="00C264E5" w:rsidRPr="00F664AA">
        <w:t xml:space="preserve"> of the </w:t>
      </w:r>
      <w:r w:rsidR="00B8374D">
        <w:t>exemplars</w:t>
      </w:r>
      <w:r w:rsidR="00C264E5">
        <w:t xml:space="preserve"> I have examined contain the signature of the owner and/or or the name of the dedicatee</w:t>
      </w:r>
      <w:r w:rsidR="005D6B9E">
        <w:t xml:space="preserve">. </w:t>
      </w:r>
      <w:r w:rsidR="00C264E5">
        <w:t>Of these, t</w:t>
      </w:r>
      <w:r w:rsidR="009E0671" w:rsidRPr="00C264E5">
        <w:t>wenty</w:t>
      </w:r>
      <w:r w:rsidR="00C264E5">
        <w:t>-four names can be</w:t>
      </w:r>
      <w:r w:rsidR="00D65C3A">
        <w:t xml:space="preserve"> </w:t>
      </w:r>
      <w:r w:rsidR="001B04E5">
        <w:t xml:space="preserve">unambiguously identified </w:t>
      </w:r>
      <w:r w:rsidR="00C264E5">
        <w:t>as female, suggesting that readers were likely to be female</w:t>
      </w:r>
      <w:r w:rsidR="00D65C3A">
        <w:t>.</w:t>
      </w:r>
      <w:r w:rsidR="004E43E1">
        <w:rPr>
          <w:rStyle w:val="EndnoteReference"/>
        </w:rPr>
        <w:endnoteReference w:id="22"/>
      </w:r>
      <w:r w:rsidR="009E0671">
        <w:t xml:space="preserve"> </w:t>
      </w:r>
      <w:r w:rsidR="00F664AA">
        <w:t>In two additional cases, where the name of the recipient is unambiguously male, the name of the gift-giver is unambiguously female</w:t>
      </w:r>
      <w:r w:rsidR="00173585">
        <w:t>.</w:t>
      </w:r>
      <w:r w:rsidR="00F664AA">
        <w:t xml:space="preserve"> As their dedications indicate,</w:t>
      </w:r>
      <w:r w:rsidR="00173585">
        <w:t xml:space="preserve"> </w:t>
      </w:r>
      <w:r w:rsidR="00F664AA">
        <w:t>t</w:t>
      </w:r>
      <w:r w:rsidR="00173585">
        <w:t>he</w:t>
      </w:r>
      <w:r w:rsidR="00B331D5">
        <w:t>se</w:t>
      </w:r>
      <w:r w:rsidR="005D6B9E">
        <w:t xml:space="preserve"> gift</w:t>
      </w:r>
      <w:r w:rsidR="00173585">
        <w:t xml:space="preserve"> book</w:t>
      </w:r>
      <w:r w:rsidR="00B331D5">
        <w:t>s bound</w:t>
      </w:r>
      <w:r w:rsidR="00173585">
        <w:t xml:space="preserve"> giver and recipient across genera</w:t>
      </w:r>
      <w:r w:rsidR="004247DB">
        <w:t>tions (mother, grandmother</w:t>
      </w:r>
      <w:r w:rsidR="00F6032E">
        <w:t>, uncle</w:t>
      </w:r>
      <w:r w:rsidR="007C3158">
        <w:t>, adult friend</w:t>
      </w:r>
      <w:r w:rsidR="00F6032E">
        <w:t>), occasionally across genders, and through friendship</w:t>
      </w:r>
      <w:r w:rsidR="007C3158">
        <w:t xml:space="preserve"> with peers</w:t>
      </w:r>
      <w:r w:rsidR="001B3213">
        <w:t xml:space="preserve">. </w:t>
      </w:r>
      <w:r w:rsidR="006612B1">
        <w:t>T</w:t>
      </w:r>
      <w:r w:rsidR="00F6032E">
        <w:t>he belat</w:t>
      </w:r>
      <w:r w:rsidR="00E04767">
        <w:t>ed 1922</w:t>
      </w:r>
      <w:r w:rsidR="00F6032E">
        <w:t xml:space="preserve"> dedication</w:t>
      </w:r>
      <w:r w:rsidR="006A5422">
        <w:t xml:space="preserve"> </w:t>
      </w:r>
      <w:r w:rsidR="007F08B3" w:rsidRPr="006A5422">
        <w:t>“</w:t>
      </w:r>
      <w:r w:rsidR="003F748E" w:rsidRPr="006A5422">
        <w:t>For Julia from Grandma</w:t>
      </w:r>
      <w:r w:rsidR="00FE5595">
        <w:t>,</w:t>
      </w:r>
      <w:r w:rsidR="003F748E" w:rsidRPr="006A5422">
        <w:t>”</w:t>
      </w:r>
      <w:r w:rsidR="00054765">
        <w:t xml:space="preserve"> after</w:t>
      </w:r>
      <w:r w:rsidR="001B3213">
        <w:t xml:space="preserve"> American</w:t>
      </w:r>
      <w:r w:rsidR="00FE5595">
        <w:t xml:space="preserve"> interest in </w:t>
      </w:r>
      <w:r w:rsidR="00995F50">
        <w:t xml:space="preserve">nineteenth-century </w:t>
      </w:r>
      <w:r w:rsidR="00FE5595">
        <w:t>German d</w:t>
      </w:r>
      <w:r w:rsidR="00995F50">
        <w:t xml:space="preserve">omestic fiction had </w:t>
      </w:r>
      <w:r w:rsidR="00FE5595">
        <w:t>waned, suggests the structure of</w:t>
      </w:r>
      <w:r w:rsidR="00F6032E">
        <w:t xml:space="preserve"> the afterlife of </w:t>
      </w:r>
      <w:r w:rsidR="001B3213">
        <w:t xml:space="preserve">the book. </w:t>
      </w:r>
      <w:r w:rsidR="007C3158">
        <w:t>“G</w:t>
      </w:r>
      <w:r w:rsidR="004247DB">
        <w:t xml:space="preserve">randma” may </w:t>
      </w:r>
      <w:r w:rsidR="001B3213">
        <w:t>have</w:t>
      </w:r>
      <w:r w:rsidR="00F6032E">
        <w:t xml:space="preserve"> selecte</w:t>
      </w:r>
      <w:r w:rsidR="001B3213">
        <w:t>d the book for Julia</w:t>
      </w:r>
      <w:r w:rsidR="00F6032E">
        <w:t xml:space="preserve"> with fond memories of her own adolescent reading.</w:t>
      </w:r>
      <w:r w:rsidR="00F54EDB">
        <w:t xml:space="preserve"> </w:t>
      </w:r>
      <w:r w:rsidR="000D2199">
        <w:t xml:space="preserve">To what extent </w:t>
      </w:r>
      <w:r w:rsidR="00A727EC">
        <w:t xml:space="preserve">then </w:t>
      </w:r>
      <w:r w:rsidR="000D2199">
        <w:t xml:space="preserve">do these signed copies represent the </w:t>
      </w:r>
      <w:r w:rsidR="0091689D">
        <w:t>larger American readership?</w:t>
      </w:r>
    </w:p>
    <w:p w:rsidR="00492A8D" w:rsidRDefault="00A509FB" w:rsidP="002676E0">
      <w:pPr>
        <w:spacing w:line="480" w:lineRule="auto"/>
        <w:ind w:right="-360" w:firstLine="720"/>
      </w:pPr>
      <w:r>
        <w:t>Eight</w:t>
      </w:r>
      <w:r w:rsidR="001B3213">
        <w:t xml:space="preserve"> and a half years of records from </w:t>
      </w:r>
      <w:r w:rsidR="002676E0">
        <w:t xml:space="preserve">the </w:t>
      </w:r>
      <w:r w:rsidR="001B3213">
        <w:t>Muncie Public Library</w:t>
      </w:r>
      <w:r w:rsidR="004E43E1">
        <w:t xml:space="preserve"> (1891-1892, 1894-1902) </w:t>
      </w:r>
      <w:r w:rsidR="00A230F0">
        <w:t xml:space="preserve">provide access to still more historical readers. </w:t>
      </w:r>
      <w:r w:rsidR="00054765">
        <w:t xml:space="preserve">As indicated in </w:t>
      </w:r>
      <w:proofErr w:type="gramStart"/>
      <w:r w:rsidR="00054765" w:rsidRPr="00A21271">
        <w:rPr>
          <w:highlight w:val="cyan"/>
        </w:rPr>
        <w:t>Figure ?</w:t>
      </w:r>
      <w:proofErr w:type="gramEnd"/>
      <w:r w:rsidR="00054765">
        <w:t>, t</w:t>
      </w:r>
      <w:r w:rsidR="005D6B9E">
        <w:t>hese dates coincide</w:t>
      </w:r>
      <w:r w:rsidR="00492A8D">
        <w:t xml:space="preserve"> with the pinnacle of the reading vogue of </w:t>
      </w:r>
      <w:r w:rsidR="00A21271">
        <w:t>translated German domestic fiction</w:t>
      </w:r>
      <w:r w:rsidR="00492A8D">
        <w:t xml:space="preserve">; these are the years in which the most new translations of </w:t>
      </w:r>
      <w:r w:rsidR="00A21271">
        <w:t>domestic fiction</w:t>
      </w:r>
      <w:r w:rsidR="00492A8D">
        <w:t xml:space="preserve"> appeared and when the most new editions and issues </w:t>
      </w:r>
      <w:r w:rsidR="00A727EC">
        <w:t xml:space="preserve">of these works </w:t>
      </w:r>
      <w:r w:rsidR="00492A8D">
        <w:t>were published</w:t>
      </w:r>
      <w:commentRangeStart w:id="1"/>
      <w:r w:rsidR="00492A8D">
        <w:t>.</w:t>
      </w:r>
      <w:r w:rsidR="00FB4877">
        <w:rPr>
          <w:rStyle w:val="EndnoteReference"/>
        </w:rPr>
        <w:endnoteReference w:id="23"/>
      </w:r>
      <w:commentRangeEnd w:id="1"/>
      <w:r w:rsidR="00054765">
        <w:rPr>
          <w:rStyle w:val="CommentReference"/>
          <w:vanish/>
        </w:rPr>
        <w:commentReference w:id="1"/>
      </w:r>
    </w:p>
    <w:p w:rsidR="0009370D" w:rsidRDefault="00492A8D" w:rsidP="002676E0">
      <w:pPr>
        <w:spacing w:line="480" w:lineRule="auto"/>
        <w:ind w:right="-360" w:firstLine="720"/>
      </w:pPr>
      <w:r>
        <w:t>The Muncie</w:t>
      </w:r>
      <w:r w:rsidR="00360EB3">
        <w:t xml:space="preserve"> </w:t>
      </w:r>
      <w:r w:rsidR="001B3213">
        <w:t>records</w:t>
      </w:r>
      <w:r w:rsidR="002676E0">
        <w:t xml:space="preserve"> reveal </w:t>
      </w:r>
      <w:proofErr w:type="spellStart"/>
      <w:r w:rsidR="002676E0">
        <w:t>Marlitt</w:t>
      </w:r>
      <w:proofErr w:type="spellEnd"/>
      <w:r w:rsidR="002676E0">
        <w:t>, rep</w:t>
      </w:r>
      <w:r w:rsidR="007F08B3">
        <w:t>resented by twenty-three books</w:t>
      </w:r>
      <w:r w:rsidR="0051062C">
        <w:t>, to be,</w:t>
      </w:r>
      <w:r w:rsidR="002676E0">
        <w:t xml:space="preserve"> with </w:t>
      </w:r>
      <w:r w:rsidR="002676E0" w:rsidRPr="001E6529">
        <w:t>1,823 transactions</w:t>
      </w:r>
      <w:r w:rsidR="002676E0">
        <w:t xml:space="preserve">, the tenth most widely </w:t>
      </w:r>
      <w:r w:rsidR="00FF27CA">
        <w:t>circulating author in the</w:t>
      </w:r>
      <w:r w:rsidR="002676E0">
        <w:t xml:space="preserve"> library in these years.</w:t>
      </w:r>
      <w:r w:rsidR="002676E0">
        <w:rPr>
          <w:rStyle w:val="EndnoteReference"/>
        </w:rPr>
        <w:endnoteReference w:id="24"/>
      </w:r>
      <w:r w:rsidR="002544D3">
        <w:t xml:space="preserve"> When women and girls’ preferences only are considered, she moves to position eight.</w:t>
      </w:r>
      <w:r w:rsidR="00360EB3">
        <w:t xml:space="preserve"> </w:t>
      </w:r>
      <w:r w:rsidR="00995F50">
        <w:rPr>
          <w:i/>
        </w:rPr>
        <w:t xml:space="preserve"> </w:t>
      </w:r>
      <w:r w:rsidR="00721E1A">
        <w:rPr>
          <w:i/>
        </w:rPr>
        <w:t xml:space="preserve">The Old </w:t>
      </w:r>
      <w:proofErr w:type="spellStart"/>
      <w:r w:rsidR="00721E1A">
        <w:rPr>
          <w:i/>
        </w:rPr>
        <w:t>Mam’selle’s</w:t>
      </w:r>
      <w:proofErr w:type="spellEnd"/>
      <w:r w:rsidR="00721E1A">
        <w:rPr>
          <w:i/>
        </w:rPr>
        <w:t xml:space="preserve"> </w:t>
      </w:r>
      <w:r w:rsidR="00995F50">
        <w:rPr>
          <w:i/>
        </w:rPr>
        <w:t>Secret</w:t>
      </w:r>
      <w:r w:rsidR="007D7797">
        <w:t xml:space="preserve"> </w:t>
      </w:r>
      <w:r w:rsidR="00995F50">
        <w:t>alone</w:t>
      </w:r>
      <w:r w:rsidR="00A0209D">
        <w:t xml:space="preserve"> </w:t>
      </w:r>
      <w:r w:rsidR="007D7797">
        <w:t xml:space="preserve">logs </w:t>
      </w:r>
      <w:r w:rsidR="007D7797" w:rsidRPr="00A21271">
        <w:rPr>
          <w:highlight w:val="cyan"/>
        </w:rPr>
        <w:t>213</w:t>
      </w:r>
      <w:r w:rsidR="002676E0">
        <w:t xml:space="preserve"> </w:t>
      </w:r>
      <w:r w:rsidR="005D6B9E">
        <w:t>transactions</w:t>
      </w:r>
      <w:r w:rsidR="002676E0">
        <w:t>.</w:t>
      </w:r>
      <w:r w:rsidR="005D6B9E">
        <w:t xml:space="preserve"> </w:t>
      </w:r>
      <w:r w:rsidR="00721E1A">
        <w:t>Library users had access to the novel via three books: Wister’s translation</w:t>
      </w:r>
      <w:r w:rsidR="00457CD9">
        <w:t>, by far the preferred option,</w:t>
      </w:r>
      <w:r w:rsidR="00721E1A">
        <w:t xml:space="preserve"> was checked out 160 times. 36 and 17 of the transactions respectively involved two additional exemplars, both E. H. translations, the former a Hurst edition. </w:t>
      </w:r>
      <w:r w:rsidR="008F52CE">
        <w:t xml:space="preserve">At least one copy, sometimes all three, was checked out over the entire decade, except for one six-week </w:t>
      </w:r>
      <w:commentRangeStart w:id="2"/>
      <w:r w:rsidR="008F52CE">
        <w:t>gap</w:t>
      </w:r>
      <w:commentRangeEnd w:id="2"/>
      <w:r w:rsidR="008F52CE">
        <w:rPr>
          <w:rStyle w:val="CommentReference"/>
          <w:vanish/>
        </w:rPr>
        <w:commentReference w:id="2"/>
      </w:r>
      <w:r w:rsidR="008F52CE">
        <w:t>.</w:t>
      </w:r>
    </w:p>
    <w:p w:rsidR="00721E1A" w:rsidRDefault="0009370D" w:rsidP="00721E1A">
      <w:pPr>
        <w:spacing w:line="480" w:lineRule="auto"/>
        <w:ind w:right="-360" w:firstLine="720"/>
        <w:rPr>
          <w:highlight w:val="green"/>
        </w:rPr>
      </w:pPr>
      <w:r>
        <w:t xml:space="preserve">77% of the borrowers </w:t>
      </w:r>
      <w:r w:rsidR="00B8374D">
        <w:t xml:space="preserve">of </w:t>
      </w:r>
      <w:r w:rsidR="00721E1A">
        <w:rPr>
          <w:i/>
        </w:rPr>
        <w:t xml:space="preserve">The Old </w:t>
      </w:r>
      <w:proofErr w:type="spellStart"/>
      <w:r w:rsidR="00721E1A">
        <w:rPr>
          <w:i/>
        </w:rPr>
        <w:t>Mam’selle’s</w:t>
      </w:r>
      <w:proofErr w:type="spellEnd"/>
      <w:r w:rsidR="00721E1A">
        <w:rPr>
          <w:i/>
        </w:rPr>
        <w:t xml:space="preserve"> S</w:t>
      </w:r>
      <w:r w:rsidR="00B8374D">
        <w:rPr>
          <w:i/>
        </w:rPr>
        <w:t xml:space="preserve">ecret </w:t>
      </w:r>
      <w:r>
        <w:t xml:space="preserve">were female.  Of the </w:t>
      </w:r>
      <w:r w:rsidRPr="00F50664">
        <w:t>147</w:t>
      </w:r>
      <w:r>
        <w:t xml:space="preserve"> for whom we can determine eth</w:t>
      </w:r>
      <w:r w:rsidR="003D08D3">
        <w:t xml:space="preserve">nicity, only 5% </w:t>
      </w:r>
      <w:r>
        <w:t>had recent affiliati</w:t>
      </w:r>
      <w:r w:rsidR="00457CD9">
        <w:t xml:space="preserve">ons with Germany </w:t>
      </w:r>
      <w:r w:rsidR="007F08B3">
        <w:t xml:space="preserve">or Switzerland and only one among these </w:t>
      </w:r>
      <w:r>
        <w:t xml:space="preserve">was born in a German-speaking </w:t>
      </w:r>
      <w:commentRangeStart w:id="3"/>
      <w:r>
        <w:t>country</w:t>
      </w:r>
      <w:commentRangeEnd w:id="3"/>
      <w:r w:rsidR="00D06DD5">
        <w:rPr>
          <w:rStyle w:val="CommentReference"/>
          <w:vanish/>
        </w:rPr>
        <w:commentReference w:id="3"/>
      </w:r>
      <w:r>
        <w:t xml:space="preserve">. </w:t>
      </w:r>
      <w:r w:rsidR="003D08D3">
        <w:t>I</w:t>
      </w:r>
      <w:r>
        <w:t>n Munc</w:t>
      </w:r>
      <w:r w:rsidR="003D08D3">
        <w:t xml:space="preserve">ie, therefore, </w:t>
      </w:r>
      <w:r>
        <w:t xml:space="preserve">German </w:t>
      </w:r>
      <w:r w:rsidR="0091689D">
        <w:t>heritage d</w:t>
      </w:r>
      <w:r w:rsidR="00303785">
        <w:t>id</w:t>
      </w:r>
      <w:r w:rsidR="0091689D">
        <w:t xml:space="preserve"> not factor signific</w:t>
      </w:r>
      <w:r w:rsidR="003D08D3">
        <w:t>antly in the choice to read this</w:t>
      </w:r>
      <w:r w:rsidR="0091689D">
        <w:t xml:space="preserve"> novel</w:t>
      </w:r>
      <w:r w:rsidR="00F523CD">
        <w:t xml:space="preserve">. </w:t>
      </w:r>
      <w:r w:rsidR="00B05570">
        <w:t>This</w:t>
      </w:r>
      <w:r w:rsidR="00C311F1">
        <w:t xml:space="preserve"> finding</w:t>
      </w:r>
      <w:r w:rsidR="00360EB3">
        <w:t xml:space="preserve"> </w:t>
      </w:r>
      <w:r w:rsidR="00C311F1">
        <w:t>helps to dispel</w:t>
      </w:r>
      <w:r w:rsidR="003D08D3">
        <w:t xml:space="preserve"> the notion that Americans</w:t>
      </w:r>
      <w:r w:rsidR="00B05570">
        <w:t xml:space="preserve"> read </w:t>
      </w:r>
      <w:proofErr w:type="spellStart"/>
      <w:r w:rsidR="00C311F1">
        <w:t>Marlitt’s</w:t>
      </w:r>
      <w:proofErr w:type="spellEnd"/>
      <w:r w:rsidR="00C311F1">
        <w:t xml:space="preserve"> </w:t>
      </w:r>
      <w:r w:rsidR="00054765">
        <w:t xml:space="preserve">novels </w:t>
      </w:r>
      <w:r w:rsidR="00C311F1">
        <w:t>and other translations fro</w:t>
      </w:r>
      <w:r w:rsidR="00995F50">
        <w:t>m the German because they</w:t>
      </w:r>
      <w:r w:rsidR="00C311F1">
        <w:t xml:space="preserve"> themselves were of German heritage</w:t>
      </w:r>
      <w:r w:rsidR="00F523CD">
        <w:t xml:space="preserve">. </w:t>
      </w:r>
      <w:r w:rsidR="00F523CD" w:rsidRPr="000C6403">
        <w:t>I</w:t>
      </w:r>
      <w:r w:rsidR="00995F50" w:rsidRPr="000C6403">
        <w:t xml:space="preserve">f </w:t>
      </w:r>
      <w:r w:rsidR="004B1086" w:rsidRPr="000C6403">
        <w:t xml:space="preserve">readers chose </w:t>
      </w:r>
      <w:r w:rsidR="00721E1A">
        <w:rPr>
          <w:i/>
        </w:rPr>
        <w:t xml:space="preserve">The Old </w:t>
      </w:r>
      <w:proofErr w:type="spellStart"/>
      <w:r w:rsidR="00721E1A">
        <w:rPr>
          <w:i/>
        </w:rPr>
        <w:t>Mam’selle’s</w:t>
      </w:r>
      <w:proofErr w:type="spellEnd"/>
      <w:r w:rsidR="00721E1A">
        <w:rPr>
          <w:i/>
        </w:rPr>
        <w:t xml:space="preserve"> S</w:t>
      </w:r>
      <w:r w:rsidR="004B1086" w:rsidRPr="000C6403">
        <w:rPr>
          <w:i/>
        </w:rPr>
        <w:t>ecret</w:t>
      </w:r>
      <w:r w:rsidR="00F523CD" w:rsidRPr="000C6403">
        <w:t xml:space="preserve"> and others of its ilk </w:t>
      </w:r>
      <w:r w:rsidR="00F523CD" w:rsidRPr="000C6403">
        <w:rPr>
          <w:i/>
        </w:rPr>
        <w:t>because</w:t>
      </w:r>
      <w:r w:rsidR="00F523CD" w:rsidRPr="000C6403">
        <w:t xml:space="preserve"> these books were German, then “Germa</w:t>
      </w:r>
      <w:r w:rsidR="00FF27CA">
        <w:t xml:space="preserve">n” </w:t>
      </w:r>
      <w:r w:rsidR="00A727EC" w:rsidRPr="000C6403">
        <w:t>figured as someth</w:t>
      </w:r>
      <w:r w:rsidR="001B04E5" w:rsidRPr="000C6403">
        <w:t>ing oth</w:t>
      </w:r>
      <w:r w:rsidR="003D08D3">
        <w:t>er than ethnicity per se</w:t>
      </w:r>
      <w:r w:rsidR="00C311F1" w:rsidRPr="000C6403">
        <w:t>.</w:t>
      </w:r>
      <w:r w:rsidR="00F523CD" w:rsidRPr="000C6403">
        <w:t xml:space="preserve"> I shall return to this poi</w:t>
      </w:r>
      <w:r w:rsidR="00A812DE">
        <w:t>nt</w:t>
      </w:r>
      <w:r w:rsidR="00457CD9">
        <w:t xml:space="preserve"> below</w:t>
      </w:r>
      <w:r w:rsidR="00A812DE">
        <w:t>.</w:t>
      </w:r>
      <w:r w:rsidR="005D6B9E" w:rsidRPr="00721E1A">
        <w:rPr>
          <w:highlight w:val="green"/>
        </w:rPr>
        <w:t xml:space="preserve"> </w:t>
      </w:r>
    </w:p>
    <w:p w:rsidR="00731D71" w:rsidRPr="002F35C1" w:rsidRDefault="00F523CD" w:rsidP="00721E1A">
      <w:pPr>
        <w:spacing w:line="480" w:lineRule="auto"/>
        <w:ind w:right="-360" w:firstLine="720"/>
        <w:rPr>
          <w:highlight w:val="green"/>
        </w:rPr>
      </w:pPr>
      <w:commentRangeStart w:id="4"/>
      <w:r w:rsidRPr="00721E1A">
        <w:rPr>
          <w:highlight w:val="green"/>
        </w:rPr>
        <w:t>Of</w:t>
      </w:r>
      <w:commentRangeEnd w:id="4"/>
      <w:r w:rsidR="00E07782">
        <w:rPr>
          <w:rStyle w:val="CommentReference"/>
          <w:vanish/>
        </w:rPr>
        <w:commentReference w:id="4"/>
      </w:r>
      <w:r w:rsidRPr="00721E1A">
        <w:rPr>
          <w:highlight w:val="green"/>
        </w:rPr>
        <w:t xml:space="preserve"> the</w:t>
      </w:r>
      <w:r w:rsidR="0030665C">
        <w:rPr>
          <w:highlight w:val="green"/>
        </w:rPr>
        <w:t xml:space="preserve"> </w:t>
      </w:r>
      <w:commentRangeStart w:id="5"/>
      <w:r w:rsidR="0030665C" w:rsidRPr="0030665C">
        <w:rPr>
          <w:highlight w:val="cyan"/>
        </w:rPr>
        <w:t>146</w:t>
      </w:r>
      <w:commentRangeEnd w:id="5"/>
      <w:r w:rsidR="0030665C">
        <w:rPr>
          <w:rStyle w:val="CommentReference"/>
          <w:vanish/>
        </w:rPr>
        <w:commentReference w:id="5"/>
      </w:r>
      <w:r w:rsidR="007F08B3" w:rsidRPr="00721E1A">
        <w:rPr>
          <w:highlight w:val="green"/>
        </w:rPr>
        <w:t xml:space="preserve"> borrowers</w:t>
      </w:r>
      <w:r w:rsidR="003D08D3" w:rsidRPr="00721E1A">
        <w:rPr>
          <w:highlight w:val="green"/>
        </w:rPr>
        <w:t>, whose</w:t>
      </w:r>
      <w:r w:rsidR="00054765">
        <w:rPr>
          <w:highlight w:val="green"/>
        </w:rPr>
        <w:t xml:space="preserve"> </w:t>
      </w:r>
      <w:r w:rsidR="00A727EC" w:rsidRPr="00721E1A">
        <w:rPr>
          <w:highlight w:val="green"/>
        </w:rPr>
        <w:t>date of birth is known</w:t>
      </w:r>
      <w:r w:rsidR="00721E1A">
        <w:t>, 41% were nineteen or younger</w:t>
      </w:r>
      <w:r w:rsidR="0030665C">
        <w:t xml:space="preserve"> </w:t>
      </w:r>
      <w:r w:rsidR="0030665C" w:rsidRPr="00E07782">
        <w:rPr>
          <w:highlight w:val="cyan"/>
        </w:rPr>
        <w:t>(as compared with 48% of all library transactions)</w:t>
      </w:r>
      <w:r w:rsidR="00721E1A" w:rsidRPr="00E07782">
        <w:rPr>
          <w:highlight w:val="cyan"/>
        </w:rPr>
        <w:t>,</w:t>
      </w:r>
      <w:r w:rsidR="00721E1A">
        <w:t xml:space="preserve"> 24% were between twenty and twenty-nine</w:t>
      </w:r>
      <w:r w:rsidR="0030665C">
        <w:t xml:space="preserve"> (</w:t>
      </w:r>
      <w:r w:rsidR="00E07782">
        <w:t>as compared with 21% of all library transactions)</w:t>
      </w:r>
      <w:r w:rsidR="00721E1A">
        <w:t xml:space="preserve">, 16%, between thirty and thirty-nine, 19%, between forty and forty-nine at the time when they checked out </w:t>
      </w:r>
      <w:r w:rsidR="00721E1A" w:rsidRPr="000E0819">
        <w:rPr>
          <w:i/>
        </w:rPr>
        <w:t xml:space="preserve">The </w:t>
      </w:r>
      <w:r w:rsidR="00721E1A" w:rsidRPr="001B04E5">
        <w:rPr>
          <w:i/>
        </w:rPr>
        <w:t xml:space="preserve">Old </w:t>
      </w:r>
      <w:proofErr w:type="spellStart"/>
      <w:r w:rsidR="00721E1A" w:rsidRPr="001B04E5">
        <w:rPr>
          <w:i/>
        </w:rPr>
        <w:t>Mam’selle’s</w:t>
      </w:r>
      <w:proofErr w:type="spellEnd"/>
      <w:r w:rsidR="00721E1A" w:rsidRPr="001B04E5">
        <w:rPr>
          <w:i/>
        </w:rPr>
        <w:t xml:space="preserve"> Secret</w:t>
      </w:r>
      <w:r w:rsidR="00721E1A">
        <w:t xml:space="preserve">. </w:t>
      </w:r>
      <w:commentRangeStart w:id="6"/>
      <w:r w:rsidR="00457CD9">
        <w:t>As</w:t>
      </w:r>
      <w:commentRangeEnd w:id="6"/>
      <w:r w:rsidR="0030665C">
        <w:rPr>
          <w:rStyle w:val="CommentReference"/>
          <w:vanish/>
        </w:rPr>
        <w:commentReference w:id="6"/>
      </w:r>
      <w:r w:rsidR="00457CD9">
        <w:t xml:space="preserve"> these figures indicate, </w:t>
      </w:r>
      <w:r w:rsidR="00457CD9">
        <w:rPr>
          <w:highlight w:val="green"/>
        </w:rPr>
        <w:t>y</w:t>
      </w:r>
      <w:r w:rsidR="00A7502C" w:rsidRPr="00721E1A">
        <w:rPr>
          <w:highlight w:val="green"/>
        </w:rPr>
        <w:t>oung</w:t>
      </w:r>
      <w:r w:rsidR="00B63535" w:rsidRPr="00721E1A">
        <w:rPr>
          <w:highlight w:val="green"/>
        </w:rPr>
        <w:t>er</w:t>
      </w:r>
      <w:r w:rsidR="00A7502C" w:rsidRPr="00721E1A">
        <w:rPr>
          <w:highlight w:val="green"/>
        </w:rPr>
        <w:t xml:space="preserve"> wom</w:t>
      </w:r>
      <w:r w:rsidR="00B63535" w:rsidRPr="00721E1A">
        <w:rPr>
          <w:highlight w:val="green"/>
        </w:rPr>
        <w:t>en</w:t>
      </w:r>
      <w:r w:rsidR="00457CD9">
        <w:rPr>
          <w:highlight w:val="green"/>
        </w:rPr>
        <w:t xml:space="preserve"> in particular</w:t>
      </w:r>
      <w:r w:rsidR="00B63535" w:rsidRPr="00721E1A">
        <w:rPr>
          <w:highlight w:val="green"/>
        </w:rPr>
        <w:t xml:space="preserve">, </w:t>
      </w:r>
      <w:r w:rsidR="00457CD9">
        <w:rPr>
          <w:highlight w:val="green"/>
        </w:rPr>
        <w:t>especially</w:t>
      </w:r>
      <w:r w:rsidR="003D08D3" w:rsidRPr="00721E1A">
        <w:rPr>
          <w:highlight w:val="green"/>
        </w:rPr>
        <w:t xml:space="preserve"> </w:t>
      </w:r>
      <w:r w:rsidR="00B63535" w:rsidRPr="00721E1A">
        <w:rPr>
          <w:highlight w:val="green"/>
        </w:rPr>
        <w:t xml:space="preserve">age 15-19, </w:t>
      </w:r>
      <w:r w:rsidR="003D08D3" w:rsidRPr="00721E1A">
        <w:rPr>
          <w:highlight w:val="green"/>
        </w:rPr>
        <w:t xml:space="preserve">read </w:t>
      </w:r>
      <w:proofErr w:type="spellStart"/>
      <w:r w:rsidR="003D08D3" w:rsidRPr="00721E1A">
        <w:rPr>
          <w:highlight w:val="green"/>
        </w:rPr>
        <w:t>Marlitt’s</w:t>
      </w:r>
      <w:proofErr w:type="spellEnd"/>
      <w:r w:rsidR="003D08D3" w:rsidRPr="00721E1A">
        <w:rPr>
          <w:highlight w:val="green"/>
        </w:rPr>
        <w:t xml:space="preserve"> novel</w:t>
      </w:r>
      <w:r w:rsidR="00731D71">
        <w:rPr>
          <w:highlight w:val="green"/>
        </w:rPr>
        <w:t xml:space="preserve">.  </w:t>
      </w:r>
      <w:proofErr w:type="gramStart"/>
      <w:r w:rsidR="00731D71">
        <w:rPr>
          <w:highlight w:val="green"/>
        </w:rPr>
        <w:t xml:space="preserve">Analysis of all </w:t>
      </w:r>
      <w:r w:rsidR="0063588E">
        <w:rPr>
          <w:highlight w:val="green"/>
        </w:rPr>
        <w:t xml:space="preserve">female </w:t>
      </w:r>
      <w:r w:rsidR="00731D71">
        <w:rPr>
          <w:highlight w:val="green"/>
        </w:rPr>
        <w:t>patrons?</w:t>
      </w:r>
      <w:proofErr w:type="gramEnd"/>
      <w:r w:rsidR="00731D71">
        <w:rPr>
          <w:highlight w:val="green"/>
        </w:rPr>
        <w:t xml:space="preserve"> 14-29 and 15-19, however, yields the same results: namely, </w:t>
      </w:r>
      <w:proofErr w:type="spellStart"/>
      <w:r w:rsidR="00731D71">
        <w:rPr>
          <w:highlight w:val="green"/>
        </w:rPr>
        <w:t>Marlitt</w:t>
      </w:r>
      <w:proofErr w:type="spellEnd"/>
      <w:r w:rsidR="00731D71">
        <w:rPr>
          <w:highlight w:val="green"/>
        </w:rPr>
        <w:t xml:space="preserve"> ranks as the fifth-most popular author and </w:t>
      </w:r>
      <w:r w:rsidR="00731D71">
        <w:rPr>
          <w:i/>
          <w:highlight w:val="green"/>
        </w:rPr>
        <w:t xml:space="preserve">The Old </w:t>
      </w:r>
      <w:proofErr w:type="spellStart"/>
      <w:r w:rsidR="00731D71">
        <w:rPr>
          <w:i/>
          <w:highlight w:val="green"/>
        </w:rPr>
        <w:t>Mam’selle’s</w:t>
      </w:r>
      <w:proofErr w:type="spellEnd"/>
      <w:r w:rsidR="00731D71">
        <w:rPr>
          <w:i/>
          <w:highlight w:val="green"/>
        </w:rPr>
        <w:t xml:space="preserve"> Secret </w:t>
      </w:r>
      <w:r w:rsidR="00731D71">
        <w:rPr>
          <w:highlight w:val="green"/>
        </w:rPr>
        <w:t>as fourteenth of all books checked out of the library with Gold Elsie in 21</w:t>
      </w:r>
      <w:r w:rsidR="00731D71" w:rsidRPr="00731D71">
        <w:rPr>
          <w:highlight w:val="green"/>
          <w:vertAlign w:val="superscript"/>
        </w:rPr>
        <w:t>st</w:t>
      </w:r>
      <w:r w:rsidR="00731D71">
        <w:rPr>
          <w:highlight w:val="green"/>
        </w:rPr>
        <w:t xml:space="preserve"> and 15</w:t>
      </w:r>
      <w:r w:rsidR="00731D71" w:rsidRPr="00731D71">
        <w:rPr>
          <w:highlight w:val="green"/>
          <w:vertAlign w:val="superscript"/>
        </w:rPr>
        <w:t>th</w:t>
      </w:r>
      <w:r w:rsidR="00731D71">
        <w:rPr>
          <w:highlight w:val="green"/>
        </w:rPr>
        <w:t xml:space="preserve"> place respectively.  If the magazine titles that head the list are removed, </w:t>
      </w:r>
      <w:r w:rsidR="0063588E">
        <w:rPr>
          <w:i/>
          <w:highlight w:val="green"/>
        </w:rPr>
        <w:t>OMS</w:t>
      </w:r>
      <w:r w:rsidR="0063588E">
        <w:rPr>
          <w:highlight w:val="green"/>
        </w:rPr>
        <w:t xml:space="preserve"> lands in 9</w:t>
      </w:r>
      <w:r w:rsidR="0063588E" w:rsidRPr="0063588E">
        <w:rPr>
          <w:highlight w:val="green"/>
          <w:vertAlign w:val="superscript"/>
        </w:rPr>
        <w:t>th</w:t>
      </w:r>
      <w:r w:rsidR="0063588E">
        <w:rPr>
          <w:highlight w:val="green"/>
        </w:rPr>
        <w:t xml:space="preserve"> and 10</w:t>
      </w:r>
      <w:r w:rsidR="0063588E" w:rsidRPr="0063588E">
        <w:rPr>
          <w:highlight w:val="green"/>
          <w:vertAlign w:val="superscript"/>
        </w:rPr>
        <w:t>th</w:t>
      </w:r>
      <w:r w:rsidR="0063588E">
        <w:rPr>
          <w:highlight w:val="green"/>
        </w:rPr>
        <w:t xml:space="preserve"> place respectively. The transactions of men, 14-29, place </w:t>
      </w:r>
      <w:proofErr w:type="spellStart"/>
      <w:r w:rsidR="0063588E">
        <w:rPr>
          <w:highlight w:val="green"/>
        </w:rPr>
        <w:t>Marlitt</w:t>
      </w:r>
      <w:proofErr w:type="spellEnd"/>
      <w:r w:rsidR="0063588E">
        <w:rPr>
          <w:highlight w:val="green"/>
        </w:rPr>
        <w:t xml:space="preserve"> by contrast in position 27 and OMS in position No</w:t>
      </w:r>
      <w:proofErr w:type="gramStart"/>
      <w:r w:rsidR="0063588E">
        <w:rPr>
          <w:highlight w:val="green"/>
        </w:rPr>
        <w:t>. ?</w:t>
      </w:r>
      <w:proofErr w:type="gramEnd"/>
      <w:r w:rsidR="0063588E">
        <w:rPr>
          <w:highlight w:val="green"/>
        </w:rPr>
        <w:t>?</w:t>
      </w:r>
      <w:r w:rsidR="00B66015">
        <w:rPr>
          <w:highlight w:val="green"/>
        </w:rPr>
        <w:t>. I</w:t>
      </w:r>
      <w:r w:rsidR="005F5E18">
        <w:rPr>
          <w:highlight w:val="green"/>
        </w:rPr>
        <w:t>n f</w:t>
      </w:r>
      <w:r w:rsidR="00B66015">
        <w:rPr>
          <w:highlight w:val="green"/>
        </w:rPr>
        <w:t>irst place for men’s reading is</w:t>
      </w:r>
      <w:r w:rsidR="005F5E18">
        <w:rPr>
          <w:highlight w:val="green"/>
        </w:rPr>
        <w:t xml:space="preserve"> Horatio Alger in the aggre</w:t>
      </w:r>
      <w:r w:rsidR="00B66015">
        <w:rPr>
          <w:highlight w:val="green"/>
        </w:rPr>
        <w:t xml:space="preserve">gate, represented by 58 books; however, a book by </w:t>
      </w:r>
      <w:r w:rsidR="005F5E18">
        <w:rPr>
          <w:highlight w:val="green"/>
        </w:rPr>
        <w:t>Charles Austin Fosdick, who is in the aggregat</w:t>
      </w:r>
      <w:r w:rsidR="00D41C8D">
        <w:rPr>
          <w:highlight w:val="green"/>
        </w:rPr>
        <w:t>e represented by 56 books,</w:t>
      </w:r>
      <w:r w:rsidR="0063588E">
        <w:rPr>
          <w:highlight w:val="green"/>
        </w:rPr>
        <w:t xml:space="preserve"> </w:t>
      </w:r>
      <w:r w:rsidR="005F5E18">
        <w:rPr>
          <w:i/>
          <w:highlight w:val="green"/>
        </w:rPr>
        <w:t>Frank on a Gunboat</w:t>
      </w:r>
      <w:r w:rsidR="00B66015">
        <w:rPr>
          <w:i/>
          <w:highlight w:val="green"/>
        </w:rPr>
        <w:t xml:space="preserve"> </w:t>
      </w:r>
      <w:r w:rsidR="00B66015">
        <w:rPr>
          <w:highlight w:val="green"/>
        </w:rPr>
        <w:t>numbers 1 (ahead of a book by Alger) right after four magazine titles</w:t>
      </w:r>
      <w:r w:rsidR="00D41C8D">
        <w:rPr>
          <w:highlight w:val="green"/>
        </w:rPr>
        <w:t>.</w:t>
      </w:r>
    </w:p>
    <w:p w:rsidR="00FB639E" w:rsidRDefault="00B66015" w:rsidP="00721E1A">
      <w:pPr>
        <w:spacing w:line="480" w:lineRule="auto"/>
        <w:ind w:right="-360" w:firstLine="720"/>
      </w:pPr>
      <w:r>
        <w:rPr>
          <w:highlight w:val="green"/>
        </w:rPr>
        <w:t>I</w:t>
      </w:r>
      <w:r w:rsidR="00457CD9" w:rsidRPr="0030665C">
        <w:rPr>
          <w:highlight w:val="cyan"/>
        </w:rPr>
        <w:t>n th</w:t>
      </w:r>
      <w:r>
        <w:rPr>
          <w:highlight w:val="cyan"/>
        </w:rPr>
        <w:t>is period Muncie readers in the</w:t>
      </w:r>
      <w:r w:rsidR="00457CD9" w:rsidRPr="0030665C">
        <w:rPr>
          <w:highlight w:val="cyan"/>
        </w:rPr>
        <w:t xml:space="preserve"> age group</w:t>
      </w:r>
      <w:r>
        <w:rPr>
          <w:highlight w:val="cyan"/>
        </w:rPr>
        <w:t>, 14-29</w:t>
      </w:r>
      <w:proofErr w:type="gramStart"/>
      <w:r>
        <w:rPr>
          <w:highlight w:val="cyan"/>
        </w:rPr>
        <w:t xml:space="preserve">, </w:t>
      </w:r>
      <w:r w:rsidR="00457CD9" w:rsidRPr="0030665C">
        <w:rPr>
          <w:highlight w:val="cyan"/>
        </w:rPr>
        <w:t xml:space="preserve"> overall</w:t>
      </w:r>
      <w:proofErr w:type="gramEnd"/>
      <w:r w:rsidR="00457CD9" w:rsidRPr="0030665C">
        <w:rPr>
          <w:highlight w:val="cyan"/>
        </w:rPr>
        <w:t xml:space="preserve"> were responsible</w:t>
      </w:r>
      <w:r>
        <w:rPr>
          <w:highlight w:val="cyan"/>
        </w:rPr>
        <w:t xml:space="preserve"> XX%</w:t>
      </w:r>
      <w:r w:rsidR="00457CD9" w:rsidRPr="0030665C">
        <w:rPr>
          <w:highlight w:val="cyan"/>
        </w:rPr>
        <w:t xml:space="preserve"> </w:t>
      </w:r>
      <w:commentRangeStart w:id="7"/>
      <w:r w:rsidR="00457CD9" w:rsidRPr="0030665C">
        <w:rPr>
          <w:highlight w:val="cyan"/>
        </w:rPr>
        <w:t>for</w:t>
      </w:r>
      <w:commentRangeEnd w:id="7"/>
      <w:r>
        <w:rPr>
          <w:rStyle w:val="CommentReference"/>
          <w:vanish/>
        </w:rPr>
        <w:commentReference w:id="7"/>
      </w:r>
      <w:r w:rsidR="00457CD9" w:rsidRPr="0030665C">
        <w:rPr>
          <w:highlight w:val="cyan"/>
        </w:rPr>
        <w:t xml:space="preserve"> </w:t>
      </w:r>
      <w:r w:rsidR="0030665C" w:rsidRPr="0030665C">
        <w:rPr>
          <w:highlight w:val="cyan"/>
        </w:rPr>
        <w:t xml:space="preserve"> of all </w:t>
      </w:r>
      <w:r w:rsidR="0030665C">
        <w:rPr>
          <w:highlight w:val="cyan"/>
        </w:rPr>
        <w:t xml:space="preserve">library </w:t>
      </w:r>
      <w:r w:rsidR="00457CD9" w:rsidRPr="0030665C">
        <w:rPr>
          <w:highlight w:val="cyan"/>
        </w:rPr>
        <w:t>transactions</w:t>
      </w:r>
      <w:r w:rsidR="00A7502C" w:rsidRPr="0030665C">
        <w:rPr>
          <w:highlight w:val="cyan"/>
        </w:rPr>
        <w:t>.</w:t>
      </w:r>
      <w:r w:rsidR="00721E1A">
        <w:t xml:space="preserve"> If American publishers of </w:t>
      </w:r>
      <w:proofErr w:type="spellStart"/>
      <w:r w:rsidR="00721E1A">
        <w:t>Marlitt’</w:t>
      </w:r>
      <w:r w:rsidR="00054765">
        <w:t>s</w:t>
      </w:r>
      <w:proofErr w:type="spellEnd"/>
      <w:r w:rsidR="00054765">
        <w:t xml:space="preserve"> novel had the sense that at the end of the century the younger set constituted a principal target audience</w:t>
      </w:r>
      <w:r w:rsidR="00721E1A">
        <w:t>, they guessed correctly; on the other hand, we could also suppos</w:t>
      </w:r>
      <w:r w:rsidR="00054765">
        <w:t>e that marketing and package were</w:t>
      </w:r>
      <w:r w:rsidR="00721E1A">
        <w:t xml:space="preserve"> helping to create and cultivate that younger audience.</w:t>
      </w:r>
    </w:p>
    <w:p w:rsidR="008E6C5B" w:rsidRDefault="004247DB" w:rsidP="002676E0">
      <w:pPr>
        <w:spacing w:line="480" w:lineRule="auto"/>
        <w:ind w:right="-360" w:firstLine="720"/>
      </w:pPr>
      <w:r>
        <w:t xml:space="preserve">The </w:t>
      </w:r>
      <w:commentRangeStart w:id="8"/>
      <w:r w:rsidRPr="00A21271">
        <w:rPr>
          <w:highlight w:val="cyan"/>
        </w:rPr>
        <w:t>203</w:t>
      </w:r>
      <w:commentRangeEnd w:id="8"/>
      <w:r w:rsidR="0030665C">
        <w:rPr>
          <w:rStyle w:val="CommentReference"/>
          <w:vanish/>
        </w:rPr>
        <w:commentReference w:id="8"/>
      </w:r>
      <w:r>
        <w:t xml:space="preserve"> borrowers of </w:t>
      </w:r>
      <w:r w:rsidR="000E0819" w:rsidRPr="000E0819">
        <w:rPr>
          <w:i/>
        </w:rPr>
        <w:t xml:space="preserve">The </w:t>
      </w:r>
      <w:r w:rsidR="00FB639E" w:rsidRPr="000E0819">
        <w:rPr>
          <w:i/>
        </w:rPr>
        <w:t>O</w:t>
      </w:r>
      <w:r w:rsidR="000E0819" w:rsidRPr="000E0819">
        <w:rPr>
          <w:i/>
        </w:rPr>
        <w:t xml:space="preserve">ld </w:t>
      </w:r>
      <w:proofErr w:type="spellStart"/>
      <w:r w:rsidR="00FB639E" w:rsidRPr="000E0819">
        <w:rPr>
          <w:i/>
        </w:rPr>
        <w:t>M</w:t>
      </w:r>
      <w:r w:rsidR="000E0819" w:rsidRPr="000E0819">
        <w:rPr>
          <w:i/>
        </w:rPr>
        <w:t>am’selle’s</w:t>
      </w:r>
      <w:proofErr w:type="spellEnd"/>
      <w:r w:rsidR="000E0819" w:rsidRPr="000E0819">
        <w:rPr>
          <w:i/>
        </w:rPr>
        <w:t xml:space="preserve"> </w:t>
      </w:r>
      <w:r w:rsidR="00FB639E" w:rsidRPr="000E0819">
        <w:rPr>
          <w:i/>
        </w:rPr>
        <w:t>S</w:t>
      </w:r>
      <w:r w:rsidR="000E0819" w:rsidRPr="000E0819">
        <w:rPr>
          <w:i/>
        </w:rPr>
        <w:t>ecret</w:t>
      </w:r>
      <w:r w:rsidR="00FB639E">
        <w:t xml:space="preserve"> checked out 2,324 additional books.  </w:t>
      </w:r>
      <w:r w:rsidR="00FB639E" w:rsidRPr="001E6529">
        <w:t>Numbering among t</w:t>
      </w:r>
      <w:r w:rsidR="00FB639E">
        <w:t>he top thirty-two choices in this</w:t>
      </w:r>
      <w:r w:rsidR="00FB639E" w:rsidRPr="001E6529">
        <w:t xml:space="preserve"> eclect</w:t>
      </w:r>
      <w:r w:rsidR="00EA3075">
        <w:t xml:space="preserve">ic list </w:t>
      </w:r>
      <w:r>
        <w:t xml:space="preserve">are twelve additional </w:t>
      </w:r>
      <w:r w:rsidR="00FB639E" w:rsidRPr="001E6529">
        <w:t>translati</w:t>
      </w:r>
      <w:r w:rsidR="00FB639E">
        <w:t>ons</w:t>
      </w:r>
      <w:r>
        <w:t xml:space="preserve"> by </w:t>
      </w:r>
      <w:proofErr w:type="spellStart"/>
      <w:r>
        <w:t>Annis</w:t>
      </w:r>
      <w:proofErr w:type="spellEnd"/>
      <w:r>
        <w:t xml:space="preserve"> Lee Wister, the best-known translator of popular German </w:t>
      </w:r>
      <w:r w:rsidR="00A21271">
        <w:t>domestic fiction.</w:t>
      </w:r>
      <w:r w:rsidR="00F523CD">
        <w:t xml:space="preserve"> Examination of</w:t>
      </w:r>
      <w:r w:rsidR="00FB639E">
        <w:t xml:space="preserve"> the preferences of 146 identifiabl</w:t>
      </w:r>
      <w:r w:rsidR="00F523CD">
        <w:t>y female readers reveals</w:t>
      </w:r>
      <w:r w:rsidR="00EA3075">
        <w:t xml:space="preserve"> that fifteen</w:t>
      </w:r>
      <w:r w:rsidR="00FB639E">
        <w:t xml:space="preserve"> of the</w:t>
      </w:r>
      <w:r w:rsidR="007F08B3">
        <w:t>ir</w:t>
      </w:r>
      <w:r w:rsidR="00FB639E">
        <w:t xml:space="preserve"> top twenty-three book c</w:t>
      </w:r>
      <w:r w:rsidR="00094E21">
        <w:t xml:space="preserve">hoices (including </w:t>
      </w:r>
      <w:r w:rsidR="00457CD9">
        <w:rPr>
          <w:i/>
        </w:rPr>
        <w:t xml:space="preserve">The Old </w:t>
      </w:r>
      <w:proofErr w:type="spellStart"/>
      <w:r w:rsidR="00457CD9">
        <w:rPr>
          <w:i/>
        </w:rPr>
        <w:t>Mam’selle’s</w:t>
      </w:r>
      <w:proofErr w:type="spellEnd"/>
      <w:r w:rsidR="00457CD9">
        <w:rPr>
          <w:i/>
        </w:rPr>
        <w:t xml:space="preserve"> S</w:t>
      </w:r>
      <w:r w:rsidR="00094E21">
        <w:rPr>
          <w:i/>
        </w:rPr>
        <w:t>ecret</w:t>
      </w:r>
      <w:r w:rsidR="00F523CD">
        <w:t xml:space="preserve">) are </w:t>
      </w:r>
      <w:r w:rsidR="00FB639E">
        <w:t>translations</w:t>
      </w:r>
      <w:r w:rsidR="00F523CD">
        <w:t xml:space="preserve"> by </w:t>
      </w:r>
      <w:proofErr w:type="spellStart"/>
      <w:r w:rsidR="00F523CD">
        <w:t>Annis</w:t>
      </w:r>
      <w:proofErr w:type="spellEnd"/>
      <w:r w:rsidR="00F523CD">
        <w:t xml:space="preserve"> Lee Wister</w:t>
      </w:r>
      <w:r w:rsidR="00FB639E">
        <w:t xml:space="preserve">, nine of them </w:t>
      </w:r>
      <w:proofErr w:type="spellStart"/>
      <w:r w:rsidR="00FB639E">
        <w:t>Marlitt</w:t>
      </w:r>
      <w:proofErr w:type="spellEnd"/>
      <w:r w:rsidR="00FB639E">
        <w:t xml:space="preserve"> </w:t>
      </w:r>
      <w:commentRangeStart w:id="9"/>
      <w:r w:rsidR="00FB639E">
        <w:t>novels</w:t>
      </w:r>
      <w:commentRangeEnd w:id="9"/>
      <w:r w:rsidR="0091689D">
        <w:rPr>
          <w:rStyle w:val="CommentReference"/>
          <w:vanish/>
        </w:rPr>
        <w:commentReference w:id="9"/>
      </w:r>
      <w:r w:rsidR="00FB639E">
        <w:t xml:space="preserve">. </w:t>
      </w:r>
      <w:r w:rsidR="00EA3075">
        <w:t>Female readers</w:t>
      </w:r>
      <w:r w:rsidR="00A0209D">
        <w:t>’</w:t>
      </w:r>
      <w:r>
        <w:t xml:space="preserve"> choices appear</w:t>
      </w:r>
      <w:r w:rsidR="00EA3075">
        <w:t xml:space="preserve"> to be guided by </w:t>
      </w:r>
      <w:r w:rsidR="00A0209D">
        <w:t xml:space="preserve">their recognition of </w:t>
      </w:r>
      <w:r w:rsidR="00EA3075">
        <w:t>both</w:t>
      </w:r>
      <w:r w:rsidR="00A0209D">
        <w:t xml:space="preserve"> the</w:t>
      </w:r>
      <w:r w:rsidR="00EA3075">
        <w:t xml:space="preserve"> auth</w:t>
      </w:r>
      <w:r w:rsidR="007F08B3">
        <w:t xml:space="preserve">or and </w:t>
      </w:r>
      <w:r w:rsidR="00A0209D">
        <w:t>the translator</w:t>
      </w:r>
      <w:r w:rsidR="007F08B3">
        <w:t xml:space="preserve">. </w:t>
      </w:r>
      <w:r w:rsidR="00094E21">
        <w:t xml:space="preserve">Male borrowers of </w:t>
      </w:r>
      <w:r w:rsidR="00094E21">
        <w:rPr>
          <w:i/>
        </w:rPr>
        <w:t>Secret</w:t>
      </w:r>
      <w:r w:rsidR="00590E87">
        <w:t xml:space="preserve"> </w:t>
      </w:r>
      <w:r w:rsidR="004149F2">
        <w:t>tend</w:t>
      </w:r>
      <w:r w:rsidR="00FF27CA">
        <w:t xml:space="preserve"> to be cross</w:t>
      </w:r>
      <w:r w:rsidR="00EA3075">
        <w:t>over readers</w:t>
      </w:r>
      <w:r w:rsidR="004149F2">
        <w:t xml:space="preserve"> who normally prefer</w:t>
      </w:r>
      <w:r w:rsidR="00C71B8D">
        <w:t xml:space="preserve"> </w:t>
      </w:r>
      <w:r w:rsidR="00457CD9">
        <w:t xml:space="preserve">such </w:t>
      </w:r>
      <w:r w:rsidR="00C71B8D">
        <w:t>other fare</w:t>
      </w:r>
      <w:r w:rsidR="00457CD9">
        <w:t xml:space="preserve"> as </w:t>
      </w:r>
      <w:r w:rsidR="00054765">
        <w:t xml:space="preserve">the novels of </w:t>
      </w:r>
      <w:r w:rsidR="00054765" w:rsidRPr="00A21271">
        <w:rPr>
          <w:highlight w:val="cyan"/>
        </w:rPr>
        <w:t>Hora</w:t>
      </w:r>
      <w:r w:rsidR="008E6C5B">
        <w:rPr>
          <w:highlight w:val="cyan"/>
        </w:rPr>
        <w:t>tio Alger</w:t>
      </w:r>
      <w:r w:rsidR="00F523CD" w:rsidRPr="00A21271">
        <w:rPr>
          <w:highlight w:val="cyan"/>
        </w:rPr>
        <w:t>.</w:t>
      </w:r>
    </w:p>
    <w:p w:rsidR="005B2BD6" w:rsidRDefault="00FB639E" w:rsidP="00C9436C">
      <w:pPr>
        <w:spacing w:line="480" w:lineRule="auto"/>
        <w:ind w:right="-360" w:firstLine="720"/>
      </w:pPr>
      <w:r>
        <w:t>I</w:t>
      </w:r>
      <w:r w:rsidR="00377F35">
        <w:t>n the aggregate, the twenty-four</w:t>
      </w:r>
      <w:r w:rsidRPr="001E6529">
        <w:t xml:space="preserve"> </w:t>
      </w:r>
      <w:r w:rsidR="00377F35">
        <w:t>exemplars</w:t>
      </w:r>
      <w:r w:rsidR="007E228B">
        <w:t xml:space="preserve"> of </w:t>
      </w:r>
      <w:r w:rsidRPr="001E6529">
        <w:t>Wister translations held by the library logged 2,157 transactions. These numbers rival the 2,967 transactions recorded fo</w:t>
      </w:r>
      <w:r>
        <w:t xml:space="preserve">r the forty books by </w:t>
      </w:r>
      <w:r w:rsidRPr="001E6529">
        <w:t>Alcott in the libra</w:t>
      </w:r>
      <w:r w:rsidR="00FF27CA">
        <w:t xml:space="preserve">ry’s holdings. </w:t>
      </w:r>
      <w:r w:rsidR="00054765">
        <w:t>Were Wister categorized</w:t>
      </w:r>
      <w:r w:rsidRPr="001E6529">
        <w:t xml:space="preserve"> as an author, she would </w:t>
      </w:r>
      <w:r w:rsidR="00377F35">
        <w:t>immediately follow Alcott in</w:t>
      </w:r>
      <w:r w:rsidRPr="001E6529">
        <w:t xml:space="preserve"> position eight</w:t>
      </w:r>
      <w:r w:rsidR="007F08B3">
        <w:t xml:space="preserve"> with her </w:t>
      </w:r>
      <w:r w:rsidR="00F601AC">
        <w:t>“Popular Works from the German</w:t>
      </w:r>
      <w:r w:rsidRPr="001E6529">
        <w:t>.</w:t>
      </w:r>
      <w:r w:rsidR="00F601AC">
        <w:t>”</w:t>
      </w:r>
      <w:r w:rsidRPr="001E6529">
        <w:rPr>
          <w:rStyle w:val="EndnoteReference"/>
        </w:rPr>
        <w:endnoteReference w:id="25"/>
      </w:r>
      <w:r w:rsidR="00FE7C7D">
        <w:t xml:space="preserve"> </w:t>
      </w:r>
      <w:r w:rsidR="00377F35">
        <w:t xml:space="preserve">Furthermore, </w:t>
      </w:r>
      <w:r w:rsidR="005B2BD6">
        <w:t xml:space="preserve">while </w:t>
      </w:r>
      <w:r w:rsidR="00B8374D">
        <w:t xml:space="preserve">exemplars </w:t>
      </w:r>
      <w:r w:rsidR="005B2BD6">
        <w:t xml:space="preserve">of Alcott’s books </w:t>
      </w:r>
      <w:r w:rsidR="00B8374D">
        <w:t>talli</w:t>
      </w:r>
      <w:r w:rsidR="00457CD9">
        <w:t>ed seventy-four</w:t>
      </w:r>
      <w:r w:rsidR="00377F35">
        <w:t xml:space="preserve"> transacti</w:t>
      </w:r>
      <w:r w:rsidR="002E1D01">
        <w:t>ons on average</w:t>
      </w:r>
      <w:r w:rsidR="00E3797E">
        <w:t xml:space="preserve"> over these years</w:t>
      </w:r>
      <w:r w:rsidR="002E1D01">
        <w:t xml:space="preserve">, </w:t>
      </w:r>
      <w:r w:rsidR="005B2BD6">
        <w:t xml:space="preserve">exemplars of </w:t>
      </w:r>
      <w:r w:rsidR="002E1D01">
        <w:t>Wister translations from the German</w:t>
      </w:r>
      <w:r w:rsidR="00457CD9">
        <w:t xml:space="preserve"> averaged eighty-</w:t>
      </w:r>
      <w:commentRangeStart w:id="10"/>
      <w:r w:rsidR="00457CD9">
        <w:t>nine</w:t>
      </w:r>
      <w:commentRangeEnd w:id="10"/>
      <w:r w:rsidR="001176F6">
        <w:rPr>
          <w:rStyle w:val="CommentReference"/>
          <w:vanish/>
        </w:rPr>
        <w:commentReference w:id="10"/>
      </w:r>
      <w:r w:rsidR="005B2BD6">
        <w:t xml:space="preserve">. </w:t>
      </w:r>
    </w:p>
    <w:p w:rsidR="005B2BD6" w:rsidRDefault="005B2BD6" w:rsidP="0052087C">
      <w:pPr>
        <w:spacing w:line="480" w:lineRule="auto"/>
        <w:ind w:right="-360" w:firstLine="720"/>
      </w:pPr>
      <w:r w:rsidRPr="005B2BD6">
        <w:rPr>
          <w:highlight w:val="cyan"/>
        </w:rPr>
        <w:t>Muncie readers</w:t>
      </w:r>
      <w:r>
        <w:t xml:space="preserve"> who read one Wister translation usually read at least one </w:t>
      </w:r>
      <w:commentRangeStart w:id="11"/>
      <w:r>
        <w:t>more</w:t>
      </w:r>
      <w:commentRangeEnd w:id="11"/>
      <w:r w:rsidR="001176F6">
        <w:rPr>
          <w:rStyle w:val="CommentReference"/>
          <w:vanish/>
        </w:rPr>
        <w:commentReference w:id="11"/>
      </w:r>
      <w:r>
        <w:t xml:space="preserve">. </w:t>
      </w:r>
      <w:r w:rsidR="004149F2">
        <w:t>The Muncie records</w:t>
      </w:r>
      <w:r w:rsidR="00FE7C7D">
        <w:t xml:space="preserve"> </w:t>
      </w:r>
      <w:r w:rsidR="002E1D01">
        <w:t xml:space="preserve">thus </w:t>
      </w:r>
      <w:r w:rsidR="00F601AC">
        <w:t>provide evidence</w:t>
      </w:r>
      <w:r w:rsidR="00D32042">
        <w:t xml:space="preserve"> that Lip</w:t>
      </w:r>
      <w:r w:rsidR="001E6A32">
        <w:t>p</w:t>
      </w:r>
      <w:r w:rsidR="00D32042">
        <w:t>incott’s strategy of marketing Wister’s translations in the aggregate as “Popular Works from the German</w:t>
      </w:r>
      <w:r w:rsidR="003D594E">
        <w:t xml:space="preserve"> Translated by Mrs. A. L. Wi</w:t>
      </w:r>
      <w:r w:rsidR="0043484A">
        <w:t>ster</w:t>
      </w:r>
      <w:r w:rsidR="003D594E">
        <w:t>”</w:t>
      </w:r>
      <w:r w:rsidR="007F08B3">
        <w:t xml:space="preserve"> had succeede</w:t>
      </w:r>
      <w:r w:rsidR="00C9436C">
        <w:t xml:space="preserve">d. </w:t>
      </w:r>
      <w:r w:rsidR="00F523CD">
        <w:t>German” was strongly associ</w:t>
      </w:r>
      <w:r w:rsidR="004149F2">
        <w:t xml:space="preserve">ated with </w:t>
      </w:r>
      <w:r w:rsidR="00C311F1">
        <w:t>Wister</w:t>
      </w:r>
      <w:r w:rsidR="004149F2">
        <w:t>’s</w:t>
      </w:r>
      <w:r w:rsidR="00C311F1">
        <w:t xml:space="preserve"> translations</w:t>
      </w:r>
      <w:r w:rsidR="002E1D01">
        <w:t>,</w:t>
      </w:r>
      <w:r w:rsidR="00C311F1">
        <w:t xml:space="preserve"> and Wister</w:t>
      </w:r>
      <w:r w:rsidR="00360EB3">
        <w:t xml:space="preserve"> had</w:t>
      </w:r>
      <w:r w:rsidR="00377F35">
        <w:t xml:space="preserve"> </w:t>
      </w:r>
      <w:r w:rsidR="00C311F1">
        <w:t xml:space="preserve">selected certain kinds of novels for translation: </w:t>
      </w:r>
      <w:r w:rsidR="00000CC6">
        <w:t xml:space="preserve">“wholesome” </w:t>
      </w:r>
      <w:r w:rsidR="00C311F1">
        <w:t xml:space="preserve">domestic fiction </w:t>
      </w:r>
      <w:r w:rsidR="00636C7A">
        <w:t xml:space="preserve">set in the German provinces </w:t>
      </w:r>
      <w:r w:rsidR="00C311F1">
        <w:t xml:space="preserve">with drama and a bit of adventure </w:t>
      </w:r>
      <w:r w:rsidR="00137AA9">
        <w:t>wit</w:t>
      </w:r>
      <w:r w:rsidR="002E1D01">
        <w:t xml:space="preserve">hin the </w:t>
      </w:r>
      <w:r w:rsidR="00137AA9">
        <w:t xml:space="preserve">constraints of domesticity </w:t>
      </w:r>
      <w:r w:rsidR="00C311F1">
        <w:t>and, most important, happy endings</w:t>
      </w:r>
      <w:r w:rsidR="00636C7A">
        <w:t>. These happy endings offered</w:t>
      </w:r>
      <w:r w:rsidR="0091689D">
        <w:t xml:space="preserve"> hope and an idea of futurity, the trouble</w:t>
      </w:r>
      <w:r w:rsidR="00636C7A">
        <w:t>d past having been put to rest and the wronged compensated, or</w:t>
      </w:r>
      <w:r w:rsidR="0091689D">
        <w:t>, to use W</w:t>
      </w:r>
      <w:r w:rsidR="00B3616B">
        <w:t>ister’s pet</w:t>
      </w:r>
      <w:r w:rsidR="0091689D">
        <w:t xml:space="preserve"> word, “indemnified.”</w:t>
      </w:r>
      <w:r w:rsidR="00A727EC">
        <w:t xml:space="preserve"> </w:t>
      </w:r>
      <w:r w:rsidR="004B1086" w:rsidRPr="002648FA">
        <w:t xml:space="preserve">With </w:t>
      </w:r>
      <w:r w:rsidR="008F5330" w:rsidRPr="002648FA">
        <w:t>forty-two translations of</w:t>
      </w:r>
      <w:r w:rsidR="004B1086" w:rsidRPr="002648FA">
        <w:t xml:space="preserve"> German</w:t>
      </w:r>
      <w:r w:rsidR="008F5330" w:rsidRPr="002648FA">
        <w:t xml:space="preserve"> works</w:t>
      </w:r>
      <w:r w:rsidR="004B1086" w:rsidRPr="002648FA">
        <w:t xml:space="preserve">, most of them by women, including </w:t>
      </w:r>
      <w:proofErr w:type="spellStart"/>
      <w:r w:rsidR="004B1086" w:rsidRPr="002648FA">
        <w:t>Marlitt’s</w:t>
      </w:r>
      <w:proofErr w:type="spellEnd"/>
      <w:r w:rsidR="004B1086" w:rsidRPr="002648FA">
        <w:t xml:space="preserve"> ten novels, Wister and Lippincott helped to create the</w:t>
      </w:r>
      <w:r w:rsidR="00636C7A" w:rsidRPr="002648FA">
        <w:t xml:space="preserve"> American liking for German pop</w:t>
      </w:r>
      <w:r>
        <w:t>ular fiction.</w:t>
      </w:r>
    </w:p>
    <w:p w:rsidR="00F523CD" w:rsidRDefault="00A727EC" w:rsidP="005B2BD6">
      <w:pPr>
        <w:spacing w:line="480" w:lineRule="auto"/>
        <w:ind w:right="-360" w:firstLine="720"/>
      </w:pPr>
      <w:r w:rsidRPr="002648FA">
        <w:t>Reviewer</w:t>
      </w:r>
      <w:r w:rsidR="004B1AB3">
        <w:t xml:space="preserve">s repeatedly laud Wister’s </w:t>
      </w:r>
      <w:r w:rsidRPr="002648FA">
        <w:t>taste in German books that were sure to satisfy</w:t>
      </w:r>
      <w:r w:rsidR="004B1086" w:rsidRPr="002648FA">
        <w:t>—eve</w:t>
      </w:r>
      <w:r w:rsidR="009B705C" w:rsidRPr="002648FA">
        <w:t xml:space="preserve">n if </w:t>
      </w:r>
      <w:r w:rsidR="00636C7A" w:rsidRPr="002648FA">
        <w:t xml:space="preserve">they considered other German books </w:t>
      </w:r>
      <w:r w:rsidR="004B1086" w:rsidRPr="002648FA">
        <w:t>dull and dreary</w:t>
      </w:r>
      <w:r w:rsidRPr="002648FA">
        <w:t xml:space="preserve">. They also </w:t>
      </w:r>
      <w:r w:rsidR="00636C7A" w:rsidRPr="002648FA">
        <w:t>recognized the</w:t>
      </w:r>
      <w:r w:rsidRPr="002648FA">
        <w:t xml:space="preserve"> affinity </w:t>
      </w:r>
      <w:r w:rsidR="00636C7A" w:rsidRPr="002648FA">
        <w:t xml:space="preserve">of these books </w:t>
      </w:r>
      <w:r w:rsidRPr="002648FA">
        <w:t xml:space="preserve">to one another. </w:t>
      </w:r>
      <w:r w:rsidR="00E3797E" w:rsidRPr="002648FA">
        <w:t>In this series of novels</w:t>
      </w:r>
      <w:r w:rsidR="00F523CD" w:rsidRPr="002648FA">
        <w:t xml:space="preserve"> “German” had become a brand that promised</w:t>
      </w:r>
      <w:r w:rsidRPr="002648FA">
        <w:t xml:space="preserve"> wholesome entertainm</w:t>
      </w:r>
      <w:r w:rsidR="00BD7314" w:rsidRPr="002648FA">
        <w:t>ent in domestic settings abroad, entertainment with happy endings.</w:t>
      </w:r>
      <w:r w:rsidR="004B1AB3">
        <w:t xml:space="preserve"> These were the happy </w:t>
      </w:r>
      <w:r w:rsidR="00636C7A" w:rsidRPr="002648FA">
        <w:t>endings that in the 1920s the reading denizens of Muncie</w:t>
      </w:r>
      <w:r w:rsidR="002E1D01" w:rsidRPr="002648FA">
        <w:t>,</w:t>
      </w:r>
      <w:r w:rsidR="00E3797E" w:rsidRPr="002648FA">
        <w:t xml:space="preserve"> perhaps some of the same borrowers</w:t>
      </w:r>
      <w:r w:rsidR="002E1D01" w:rsidRPr="002648FA">
        <w:t xml:space="preserve"> who had checked out </w:t>
      </w:r>
      <w:r w:rsidR="00C9436C">
        <w:rPr>
          <w:i/>
        </w:rPr>
        <w:t xml:space="preserve">The Old </w:t>
      </w:r>
      <w:proofErr w:type="spellStart"/>
      <w:r w:rsidR="00C9436C">
        <w:rPr>
          <w:i/>
        </w:rPr>
        <w:t>Mam’selle’s</w:t>
      </w:r>
      <w:proofErr w:type="spellEnd"/>
      <w:r w:rsidR="00C9436C">
        <w:rPr>
          <w:i/>
        </w:rPr>
        <w:t xml:space="preserve"> S</w:t>
      </w:r>
      <w:r w:rsidR="002E1D01" w:rsidRPr="002648FA">
        <w:rPr>
          <w:i/>
        </w:rPr>
        <w:t xml:space="preserve">ecret </w:t>
      </w:r>
      <w:r w:rsidR="00E3797E" w:rsidRPr="002648FA">
        <w:t>t</w:t>
      </w:r>
      <w:r w:rsidR="002E1D01" w:rsidRPr="002648FA">
        <w:t>wenty years earlier</w:t>
      </w:r>
      <w:r w:rsidR="00B3117E" w:rsidRPr="002648FA">
        <w:t>,</w:t>
      </w:r>
      <w:r w:rsidR="002E1D01" w:rsidRPr="002648FA">
        <w:t xml:space="preserve"> told </w:t>
      </w:r>
      <w:r w:rsidR="00E3797E" w:rsidRPr="002648FA">
        <w:t xml:space="preserve">the sociologists </w:t>
      </w:r>
      <w:r w:rsidR="002E1D01" w:rsidRPr="002648FA">
        <w:t>Robert S. Lind and Helen Merrell Lind</w:t>
      </w:r>
      <w:r w:rsidR="00636C7A" w:rsidRPr="002648FA">
        <w:t xml:space="preserve"> they sought</w:t>
      </w:r>
      <w:r w:rsidR="00C9436C">
        <w:t xml:space="preserve"> in their reading</w:t>
      </w:r>
      <w:r w:rsidR="005D6B9E" w:rsidRPr="002648FA">
        <w:t>, since</w:t>
      </w:r>
      <w:r w:rsidR="00636C7A" w:rsidRPr="002648FA">
        <w:t xml:space="preserve"> “There’s enough trouble in the world all about one, so why should people have to put it in books?”</w:t>
      </w:r>
      <w:r w:rsidR="00636C7A" w:rsidRPr="002648FA">
        <w:rPr>
          <w:rStyle w:val="EndnoteReference"/>
        </w:rPr>
        <w:endnoteReference w:id="26"/>
      </w:r>
    </w:p>
    <w:p w:rsidR="005B2BD6" w:rsidRDefault="00000CC6" w:rsidP="002676E0">
      <w:pPr>
        <w:spacing w:line="480" w:lineRule="auto"/>
        <w:ind w:right="-360" w:firstLine="720"/>
      </w:pPr>
      <w:r>
        <w:t>How then did</w:t>
      </w:r>
      <w:r w:rsidR="00B3117E">
        <w:t xml:space="preserve"> </w:t>
      </w:r>
      <w:proofErr w:type="spellStart"/>
      <w:r w:rsidR="00B3117E">
        <w:t>Marlitt’s</w:t>
      </w:r>
      <w:proofErr w:type="spellEnd"/>
      <w:r w:rsidR="00B3117E">
        <w:t xml:space="preserve"> novel </w:t>
      </w:r>
      <w:r>
        <w:t xml:space="preserve">and its German avatars </w:t>
      </w:r>
      <w:r w:rsidR="00B3117E">
        <w:t>in translation</w:t>
      </w:r>
      <w:r>
        <w:t xml:space="preserve"> figure</w:t>
      </w:r>
      <w:r w:rsidR="00A727EC">
        <w:t xml:space="preserve"> among the</w:t>
      </w:r>
      <w:r>
        <w:t xml:space="preserve"> wealth of books from which American readers</w:t>
      </w:r>
      <w:r w:rsidR="004F45D6">
        <w:t xml:space="preserve"> could</w:t>
      </w:r>
      <w:r w:rsidR="00A727EC">
        <w:t xml:space="preserve"> </w:t>
      </w:r>
      <w:proofErr w:type="gramStart"/>
      <w:r w:rsidR="00A727EC">
        <w:t>choose.</w:t>
      </w:r>
      <w:proofErr w:type="gramEnd"/>
      <w:r w:rsidR="00A727EC">
        <w:t xml:space="preserve"> </w:t>
      </w:r>
      <w:r w:rsidR="00636C7A">
        <w:t>To what extent</w:t>
      </w:r>
      <w:r>
        <w:t xml:space="preserve"> </w:t>
      </w:r>
      <w:r w:rsidR="00636C7A">
        <w:t>did readers</w:t>
      </w:r>
      <w:r w:rsidR="00094E21">
        <w:t xml:space="preserve"> choose </w:t>
      </w:r>
      <w:r w:rsidR="00C9436C">
        <w:rPr>
          <w:i/>
        </w:rPr>
        <w:t xml:space="preserve">the Old </w:t>
      </w:r>
      <w:proofErr w:type="spellStart"/>
      <w:r w:rsidR="00C9436C">
        <w:rPr>
          <w:i/>
        </w:rPr>
        <w:t>Mam’selle’s</w:t>
      </w:r>
      <w:proofErr w:type="spellEnd"/>
      <w:r w:rsidR="00C9436C">
        <w:rPr>
          <w:i/>
        </w:rPr>
        <w:t xml:space="preserve"> S</w:t>
      </w:r>
      <w:r w:rsidR="00094E21">
        <w:rPr>
          <w:i/>
        </w:rPr>
        <w:t>ecret</w:t>
      </w:r>
      <w:r w:rsidR="00CB46E3">
        <w:t xml:space="preserve"> as </w:t>
      </w:r>
      <w:proofErr w:type="gramStart"/>
      <w:r w:rsidR="00F601AC">
        <w:t>stand-out</w:t>
      </w:r>
      <w:proofErr w:type="gramEnd"/>
      <w:r w:rsidR="00F601AC">
        <w:t xml:space="preserve"> reading d</w:t>
      </w:r>
      <w:r w:rsidR="00CB46E3">
        <w:t xml:space="preserve">ifferent from other fare? To what extent did </w:t>
      </w:r>
      <w:r w:rsidR="00B3117E">
        <w:t>the novel, on the other hand,</w:t>
      </w:r>
      <w:r w:rsidR="00CB46E3">
        <w:t xml:space="preserve"> figure in their choices</w:t>
      </w:r>
      <w:r w:rsidR="00F601AC">
        <w:t xml:space="preserve"> </w:t>
      </w:r>
      <w:r w:rsidR="00CB46E3">
        <w:t xml:space="preserve">merely </w:t>
      </w:r>
      <w:r w:rsidR="00F601AC">
        <w:t>as a pleasing example of the many?</w:t>
      </w:r>
      <w:r w:rsidR="00457CD9">
        <w:t xml:space="preserve"> </w:t>
      </w:r>
      <w:proofErr w:type="gramStart"/>
      <w:r w:rsidR="00457CD9">
        <w:t>A publishers</w:t>
      </w:r>
      <w:proofErr w:type="gramEnd"/>
      <w:r w:rsidR="00457CD9">
        <w:t>’ survey, topic modeling, and further examination of the Muncie data provide additional clues for making determinations about genre and reader preferences.</w:t>
      </w:r>
    </w:p>
    <w:p w:rsidR="005B2BD6" w:rsidRDefault="005B2BD6" w:rsidP="002676E0">
      <w:pPr>
        <w:spacing w:line="480" w:lineRule="auto"/>
        <w:ind w:right="-360" w:firstLine="720"/>
      </w:pPr>
    </w:p>
    <w:p w:rsidR="003D594E" w:rsidRPr="005B2BD6" w:rsidRDefault="00E948D2" w:rsidP="005B2BD6">
      <w:pPr>
        <w:spacing w:line="480" w:lineRule="auto"/>
        <w:ind w:right="-360"/>
        <w:rPr>
          <w:b/>
        </w:rPr>
      </w:pPr>
      <w:r>
        <w:rPr>
          <w:b/>
        </w:rPr>
        <w:t>Reading from a Distance: The One Among the Many</w:t>
      </w:r>
    </w:p>
    <w:p w:rsidR="00D0458A" w:rsidRDefault="003D594E" w:rsidP="00E948D2">
      <w:pPr>
        <w:spacing w:line="480" w:lineRule="auto"/>
        <w:ind w:right="-360"/>
      </w:pPr>
      <w:r>
        <w:t>I</w:t>
      </w:r>
      <w:r w:rsidR="003F7C76">
        <w:t>n 1876,</w:t>
      </w:r>
      <w:r w:rsidR="0043484A">
        <w:t xml:space="preserve"> in </w:t>
      </w:r>
      <w:r w:rsidR="0043484A" w:rsidRPr="0043484A">
        <w:rPr>
          <w:i/>
        </w:rPr>
        <w:t>Publisher</w:t>
      </w:r>
      <w:r w:rsidR="00457CD9">
        <w:rPr>
          <w:i/>
        </w:rPr>
        <w:t>’</w:t>
      </w:r>
      <w:r w:rsidR="0043484A" w:rsidRPr="0043484A">
        <w:rPr>
          <w:i/>
        </w:rPr>
        <w:t>s Weekly</w:t>
      </w:r>
      <w:r w:rsidR="0043484A">
        <w:t xml:space="preserve">, </w:t>
      </w:r>
      <w:r w:rsidR="00D0458A">
        <w:t>thirty-nine</w:t>
      </w:r>
      <w:r w:rsidR="00A0209D">
        <w:t xml:space="preserve"> </w:t>
      </w:r>
      <w:r w:rsidR="003F7C76">
        <w:t xml:space="preserve">American publishers </w:t>
      </w:r>
      <w:r>
        <w:t xml:space="preserve">ranked </w:t>
      </w:r>
      <w:r w:rsidRPr="003D594E">
        <w:rPr>
          <w:i/>
        </w:rPr>
        <w:t>Jane Eyre</w:t>
      </w:r>
      <w:r w:rsidR="00FB639E" w:rsidRPr="001E6529">
        <w:t xml:space="preserve"> </w:t>
      </w:r>
      <w:r w:rsidR="002B7E48">
        <w:t>(1847)</w:t>
      </w:r>
      <w:r w:rsidR="000052D9">
        <w:t xml:space="preserve"> </w:t>
      </w:r>
      <w:r w:rsidR="00A0209D">
        <w:t xml:space="preserve">second on a list of </w:t>
      </w:r>
      <w:r w:rsidR="00177E80">
        <w:t xml:space="preserve">the </w:t>
      </w:r>
      <w:r w:rsidR="00870F14">
        <w:t>204</w:t>
      </w:r>
      <w:r w:rsidR="00A0209D">
        <w:t xml:space="preserve"> </w:t>
      </w:r>
      <w:r w:rsidR="00F601AC">
        <w:t>most salable books</w:t>
      </w:r>
      <w:r w:rsidR="00000CC6">
        <w:t xml:space="preserve"> (most salable, that is, after Dickens, Scott, Eliot, and Bulwer-Lytton, whose marketability was considered indisputable</w:t>
      </w:r>
      <w:r w:rsidR="00B8374D">
        <w:t xml:space="preserve"> and who therefore were excluded from the survey</w:t>
      </w:r>
      <w:r w:rsidR="00000CC6">
        <w:t>)</w:t>
      </w:r>
      <w:r w:rsidR="00F601AC">
        <w:t>.</w:t>
      </w:r>
      <w:r w:rsidR="00D3000E">
        <w:rPr>
          <w:rStyle w:val="EndnoteReference"/>
        </w:rPr>
        <w:endnoteReference w:id="27"/>
      </w:r>
      <w:r w:rsidR="00F601AC">
        <w:t xml:space="preserve"> </w:t>
      </w:r>
      <w:r w:rsidR="00C9436C">
        <w:rPr>
          <w:i/>
        </w:rPr>
        <w:t xml:space="preserve">The Old </w:t>
      </w:r>
      <w:proofErr w:type="spellStart"/>
      <w:r w:rsidR="00C9436C">
        <w:rPr>
          <w:i/>
        </w:rPr>
        <w:t>Mam’selle’s</w:t>
      </w:r>
      <w:proofErr w:type="spellEnd"/>
      <w:r w:rsidR="00C9436C">
        <w:rPr>
          <w:i/>
        </w:rPr>
        <w:t xml:space="preserve"> S</w:t>
      </w:r>
      <w:r>
        <w:rPr>
          <w:i/>
        </w:rPr>
        <w:t>ecret</w:t>
      </w:r>
      <w:r>
        <w:t xml:space="preserve"> </w:t>
      </w:r>
      <w:r w:rsidR="00D0458A">
        <w:t xml:space="preserve">placed </w:t>
      </w:r>
      <w:r w:rsidR="00BB3385">
        <w:t xml:space="preserve">twenty-third </w:t>
      </w:r>
      <w:r w:rsidR="00457CD9">
        <w:t xml:space="preserve">on this </w:t>
      </w:r>
      <w:r w:rsidR="00F601AC">
        <w:t>list</w:t>
      </w:r>
      <w:r w:rsidR="00D3000E">
        <w:t>, foll</w:t>
      </w:r>
      <w:r w:rsidR="0009693F">
        <w:t xml:space="preserve">owed by four additional </w:t>
      </w:r>
      <w:r w:rsidR="00D3000E">
        <w:t>novels</w:t>
      </w:r>
      <w:r w:rsidR="0009693F">
        <w:t xml:space="preserve"> by </w:t>
      </w:r>
      <w:proofErr w:type="spellStart"/>
      <w:r w:rsidR="0009693F">
        <w:t>Marlitt</w:t>
      </w:r>
      <w:proofErr w:type="spellEnd"/>
      <w:r w:rsidR="00D3000E">
        <w:t xml:space="preserve"> in positions 27, 50, 95, and 114</w:t>
      </w:r>
      <w:r w:rsidR="00F601AC">
        <w:t>.</w:t>
      </w:r>
      <w:r>
        <w:t xml:space="preserve"> </w:t>
      </w:r>
      <w:r w:rsidR="000052D9">
        <w:t xml:space="preserve">In 1876 </w:t>
      </w:r>
      <w:r w:rsidR="000052D9" w:rsidRPr="00FF0A40">
        <w:rPr>
          <w:i/>
        </w:rPr>
        <w:t>J</w:t>
      </w:r>
      <w:r w:rsidR="00FF0A40" w:rsidRPr="00FF0A40">
        <w:rPr>
          <w:i/>
        </w:rPr>
        <w:t xml:space="preserve">ane </w:t>
      </w:r>
      <w:r w:rsidR="000052D9" w:rsidRPr="00FF0A40">
        <w:rPr>
          <w:i/>
        </w:rPr>
        <w:t>E</w:t>
      </w:r>
      <w:r w:rsidR="00FF0A40" w:rsidRPr="00FF0A40">
        <w:rPr>
          <w:i/>
        </w:rPr>
        <w:t>yre</w:t>
      </w:r>
      <w:r w:rsidR="000052D9">
        <w:t xml:space="preserve"> was by no means </w:t>
      </w:r>
      <w:r w:rsidR="0024423C">
        <w:t>new, especially in comparison with</w:t>
      </w:r>
      <w:r w:rsidR="000052D9">
        <w:t xml:space="preserve"> the American translation</w:t>
      </w:r>
      <w:r w:rsidR="0024423C">
        <w:t xml:space="preserve"> of </w:t>
      </w:r>
      <w:r w:rsidR="00C9436C">
        <w:rPr>
          <w:i/>
        </w:rPr>
        <w:t xml:space="preserve">the Old </w:t>
      </w:r>
      <w:proofErr w:type="spellStart"/>
      <w:r w:rsidR="00C9436C">
        <w:rPr>
          <w:i/>
        </w:rPr>
        <w:t>Mam’selle’s</w:t>
      </w:r>
      <w:proofErr w:type="spellEnd"/>
      <w:r w:rsidR="00C9436C">
        <w:rPr>
          <w:i/>
        </w:rPr>
        <w:t xml:space="preserve"> S</w:t>
      </w:r>
      <w:r w:rsidR="000C1F8F" w:rsidRPr="000C1F8F">
        <w:rPr>
          <w:i/>
        </w:rPr>
        <w:t>ecret</w:t>
      </w:r>
      <w:r w:rsidR="000052D9">
        <w:t>, w</w:t>
      </w:r>
      <w:r w:rsidR="007F08B3">
        <w:t xml:space="preserve">hich was </w:t>
      </w:r>
      <w:r w:rsidR="000058E4">
        <w:t xml:space="preserve">not yet a decade old. Nevertheless, </w:t>
      </w:r>
      <w:r w:rsidR="00A727EC">
        <w:t>in the opinion of American publishe</w:t>
      </w:r>
      <w:r w:rsidR="0009693F">
        <w:t>rs, the nearly thirty-year-old</w:t>
      </w:r>
      <w:r w:rsidR="000058E4">
        <w:t xml:space="preserve"> </w:t>
      </w:r>
      <w:r w:rsidR="00F601AC">
        <w:t xml:space="preserve">English-language </w:t>
      </w:r>
      <w:r w:rsidR="000058E4">
        <w:t>book</w:t>
      </w:r>
      <w:r w:rsidR="00A727EC">
        <w:t xml:space="preserve"> was </w:t>
      </w:r>
      <w:r w:rsidR="00F601AC">
        <w:t xml:space="preserve">still </w:t>
      </w:r>
      <w:r w:rsidR="00A727EC">
        <w:t xml:space="preserve">a sure bet on the </w:t>
      </w:r>
      <w:r w:rsidR="00F601AC">
        <w:t xml:space="preserve">American </w:t>
      </w:r>
      <w:r w:rsidR="00A727EC">
        <w:t>market.</w:t>
      </w:r>
      <w:r w:rsidR="007F08B3">
        <w:t xml:space="preserve"> </w:t>
      </w:r>
    </w:p>
    <w:p w:rsidR="00A64073" w:rsidRDefault="007F08B3" w:rsidP="00A64073">
      <w:pPr>
        <w:spacing w:line="480" w:lineRule="auto"/>
        <w:ind w:right="-360" w:firstLine="720"/>
      </w:pPr>
      <w:r w:rsidRPr="00AA137B">
        <w:t>T</w:t>
      </w:r>
      <w:r w:rsidR="002B7E48" w:rsidRPr="00AA137B">
        <w:t>opic modeling</w:t>
      </w:r>
      <w:r w:rsidR="00A727EC" w:rsidRPr="00AA137B">
        <w:t xml:space="preserve"> </w:t>
      </w:r>
      <w:r w:rsidR="002B7E48" w:rsidRPr="00AA137B">
        <w:t xml:space="preserve">places </w:t>
      </w:r>
      <w:r w:rsidR="002B7E48" w:rsidRPr="00AA137B">
        <w:rPr>
          <w:i/>
        </w:rPr>
        <w:t>Jane Eyre</w:t>
      </w:r>
      <w:r w:rsidR="0043484A" w:rsidRPr="00AA137B">
        <w:t xml:space="preserve"> at</w:t>
      </w:r>
      <w:r w:rsidR="00651965" w:rsidRPr="00AA137B">
        <w:t xml:space="preserve"> the center of this </w:t>
      </w:r>
      <w:r w:rsidR="0024423C" w:rsidRPr="00AA137B">
        <w:t xml:space="preserve">1876 </w:t>
      </w:r>
      <w:r w:rsidR="00651965" w:rsidRPr="00AA137B">
        <w:t>list,</w:t>
      </w:r>
      <w:r w:rsidRPr="00AA137B">
        <w:t xml:space="preserve"> with a majority</w:t>
      </w:r>
      <w:r w:rsidR="007E228B" w:rsidRPr="00AA137B">
        <w:t xml:space="preserve"> </w:t>
      </w:r>
      <w:r w:rsidR="0043484A" w:rsidRPr="00AA137B">
        <w:t xml:space="preserve">of </w:t>
      </w:r>
      <w:r w:rsidRPr="00AA137B">
        <w:t xml:space="preserve">the </w:t>
      </w:r>
      <w:r w:rsidR="002648FA" w:rsidRPr="00AA137B">
        <w:t>books consistently close to</w:t>
      </w:r>
      <w:r w:rsidR="0043484A" w:rsidRPr="00AA137B">
        <w:t xml:space="preserve"> it</w:t>
      </w:r>
      <w:r w:rsidR="005A6E94" w:rsidRPr="00AA137B">
        <w:t xml:space="preserve"> </w:t>
      </w:r>
      <w:r w:rsidR="00AA137B" w:rsidRPr="00AA137B">
        <w:t xml:space="preserve">as measured by the presence of </w:t>
      </w:r>
      <w:r w:rsidR="005F2970">
        <w:t>sta</w:t>
      </w:r>
      <w:r w:rsidR="005A6E94" w:rsidRPr="00AA137B">
        <w:t>tistically determined “topics</w:t>
      </w:r>
      <w:r w:rsidR="00A64073">
        <w:t>.</w:t>
      </w:r>
      <w:r w:rsidR="005A6E94" w:rsidRPr="00AA137B">
        <w:t>”</w:t>
      </w:r>
      <w:r w:rsidR="00E37B54">
        <w:rPr>
          <w:rStyle w:val="EndnoteReference"/>
        </w:rPr>
        <w:endnoteReference w:id="28"/>
      </w:r>
      <w:r w:rsidR="00D85562" w:rsidRPr="00AA137B">
        <w:t xml:space="preserve"> </w:t>
      </w:r>
      <w:r w:rsidR="00A0209D" w:rsidRPr="00AA137B">
        <w:t>In</w:t>
      </w:r>
      <w:r w:rsidR="00000CC6" w:rsidRPr="00AA137B">
        <w:t xml:space="preserve"> other words</w:t>
      </w:r>
      <w:r w:rsidR="00A64073">
        <w:t>,</w:t>
      </w:r>
      <w:r w:rsidR="00000CC6" w:rsidRPr="00AA137B">
        <w:t xml:space="preserve"> the</w:t>
      </w:r>
      <w:r w:rsidR="00637595" w:rsidRPr="00AA137B">
        <w:t xml:space="preserve"> books deemed salable </w:t>
      </w:r>
      <w:r w:rsidR="002648FA" w:rsidRPr="00AA137B">
        <w:t>by these American</w:t>
      </w:r>
      <w:r w:rsidR="004149F2">
        <w:t xml:space="preserve"> publishers tended to have the same</w:t>
      </w:r>
      <w:r w:rsidR="005A6E94" w:rsidRPr="00AA137B">
        <w:t xml:space="preserve"> word affiliations</w:t>
      </w:r>
      <w:r w:rsidR="002648FA" w:rsidRPr="00AA137B">
        <w:t xml:space="preserve"> to be found in</w:t>
      </w:r>
      <w:r w:rsidR="00A0209D" w:rsidRPr="00AA137B">
        <w:t xml:space="preserve"> </w:t>
      </w:r>
      <w:r w:rsidR="00A0209D" w:rsidRPr="00AA137B">
        <w:rPr>
          <w:i/>
        </w:rPr>
        <w:t>J</w:t>
      </w:r>
      <w:r w:rsidR="002D7CD6" w:rsidRPr="00AA137B">
        <w:rPr>
          <w:i/>
        </w:rPr>
        <w:t xml:space="preserve">ane </w:t>
      </w:r>
      <w:r w:rsidR="00A0209D" w:rsidRPr="00AA137B">
        <w:rPr>
          <w:i/>
        </w:rPr>
        <w:t>E</w:t>
      </w:r>
      <w:r w:rsidR="002D7CD6" w:rsidRPr="00AA137B">
        <w:rPr>
          <w:i/>
        </w:rPr>
        <w:t>yre</w:t>
      </w:r>
      <w:r w:rsidR="00A64073">
        <w:t>—</w:t>
      </w:r>
      <w:r w:rsidR="00A64073" w:rsidRPr="00A64073">
        <w:t xml:space="preserve"> </w:t>
      </w:r>
      <w:proofErr w:type="spellStart"/>
      <w:r w:rsidR="00A64073" w:rsidRPr="00AA137B">
        <w:t>Brontë’s</w:t>
      </w:r>
      <w:proofErr w:type="spellEnd"/>
      <w:r w:rsidR="00A64073" w:rsidRPr="00AA137B">
        <w:t xml:space="preserve"> novel </w:t>
      </w:r>
      <w:r w:rsidR="00A64073">
        <w:t>thus figures as something like</w:t>
      </w:r>
      <w:r w:rsidR="00724A82">
        <w:t xml:space="preserve"> a</w:t>
      </w:r>
      <w:r w:rsidR="00224A36">
        <w:t xml:space="preserve"> universal literary solvent, a linguistic</w:t>
      </w:r>
      <w:r w:rsidR="00A64073" w:rsidRPr="00AA137B">
        <w:t xml:space="preserve"> philosopher’s stone.</w:t>
      </w:r>
      <w:r w:rsidR="002648FA" w:rsidRPr="00AA137B">
        <w:t xml:space="preserve"> </w:t>
      </w:r>
    </w:p>
    <w:p w:rsidR="0031126B" w:rsidRPr="00A64073" w:rsidRDefault="0043484A" w:rsidP="00A64073">
      <w:pPr>
        <w:spacing w:line="480" w:lineRule="auto"/>
        <w:ind w:right="-360" w:firstLine="720"/>
      </w:pPr>
      <w:r w:rsidRPr="00AA137B">
        <w:rPr>
          <w:i/>
        </w:rPr>
        <w:t>The</w:t>
      </w:r>
      <w:r w:rsidRPr="002D7CD6">
        <w:rPr>
          <w:i/>
        </w:rPr>
        <w:t xml:space="preserve"> O</w:t>
      </w:r>
      <w:r w:rsidR="002D7CD6" w:rsidRPr="002D7CD6">
        <w:rPr>
          <w:i/>
        </w:rPr>
        <w:t xml:space="preserve">ld </w:t>
      </w:r>
      <w:proofErr w:type="spellStart"/>
      <w:r w:rsidRPr="002D7CD6">
        <w:rPr>
          <w:i/>
        </w:rPr>
        <w:t>M</w:t>
      </w:r>
      <w:r w:rsidR="002D7CD6" w:rsidRPr="002D7CD6">
        <w:rPr>
          <w:i/>
        </w:rPr>
        <w:t>am’selle’s</w:t>
      </w:r>
      <w:proofErr w:type="spellEnd"/>
      <w:r w:rsidR="002D7CD6" w:rsidRPr="002D7CD6">
        <w:rPr>
          <w:i/>
        </w:rPr>
        <w:t xml:space="preserve"> </w:t>
      </w:r>
      <w:r w:rsidRPr="002D7CD6">
        <w:rPr>
          <w:i/>
        </w:rPr>
        <w:t>S</w:t>
      </w:r>
      <w:r w:rsidR="002D7CD6" w:rsidRPr="002D7CD6">
        <w:rPr>
          <w:i/>
        </w:rPr>
        <w:t>ecret</w:t>
      </w:r>
      <w:r>
        <w:t>, which</w:t>
      </w:r>
      <w:r w:rsidR="0009693F">
        <w:t>,</w:t>
      </w:r>
      <w:r w:rsidR="00C9436C">
        <w:t xml:space="preserve"> as indicated above</w:t>
      </w:r>
      <w:r w:rsidR="0009693F">
        <w:t>,</w:t>
      </w:r>
      <w:r>
        <w:t xml:space="preserve"> close reading reveals to be influenced by </w:t>
      </w:r>
      <w:r w:rsidRPr="000E305F">
        <w:rPr>
          <w:i/>
        </w:rPr>
        <w:t>J</w:t>
      </w:r>
      <w:r w:rsidR="000E305F" w:rsidRPr="000E305F">
        <w:rPr>
          <w:i/>
        </w:rPr>
        <w:t xml:space="preserve">ane </w:t>
      </w:r>
      <w:r w:rsidRPr="000E305F">
        <w:rPr>
          <w:i/>
        </w:rPr>
        <w:t>E</w:t>
      </w:r>
      <w:r w:rsidR="000E305F" w:rsidRPr="000E305F">
        <w:rPr>
          <w:i/>
        </w:rPr>
        <w:t>yre</w:t>
      </w:r>
      <w:r w:rsidR="004149F2">
        <w:t>, also</w:t>
      </w:r>
      <w:r>
        <w:t xml:space="preserve"> fa</w:t>
      </w:r>
      <w:r w:rsidR="0051062C">
        <w:t>lls into</w:t>
      </w:r>
      <w:r w:rsidR="007F08B3">
        <w:t xml:space="preserve"> </w:t>
      </w:r>
      <w:r w:rsidR="00CB46E3">
        <w:t xml:space="preserve">the </w:t>
      </w:r>
      <w:r w:rsidR="007F08B3">
        <w:t>penumbra</w:t>
      </w:r>
      <w:r w:rsidR="00FF0A40">
        <w:t xml:space="preserve"> of </w:t>
      </w:r>
      <w:proofErr w:type="spellStart"/>
      <w:r w:rsidR="00FF0A40">
        <w:t>Brontë’s</w:t>
      </w:r>
      <w:proofErr w:type="spellEnd"/>
      <w:r w:rsidR="00FF0A40">
        <w:t xml:space="preserve"> novel</w:t>
      </w:r>
      <w:r w:rsidR="009B4C41">
        <w:t xml:space="preserve">, as indexed by </w:t>
      </w:r>
      <w:r w:rsidR="004149F2">
        <w:t>topic modeling</w:t>
      </w:r>
      <w:r w:rsidR="005A6E94">
        <w:t>. Y</w:t>
      </w:r>
      <w:r w:rsidR="007F08B3">
        <w:t xml:space="preserve">et distances </w:t>
      </w:r>
      <w:r w:rsidR="005A6E94">
        <w:t xml:space="preserve">between novels </w:t>
      </w:r>
      <w:r w:rsidR="007F08B3">
        <w:t xml:space="preserve">determined </w:t>
      </w:r>
      <w:r w:rsidR="00A0209D">
        <w:t xml:space="preserve">by </w:t>
      </w:r>
      <w:r w:rsidR="00FF0A40">
        <w:t xml:space="preserve">topic modeling do not reveal </w:t>
      </w:r>
      <w:proofErr w:type="spellStart"/>
      <w:r w:rsidR="00FF0A40">
        <w:t>Marlitt’s</w:t>
      </w:r>
      <w:proofErr w:type="spellEnd"/>
      <w:r w:rsidR="00FF0A40">
        <w:t xml:space="preserve"> novel</w:t>
      </w:r>
      <w:r w:rsidR="002648FA">
        <w:t xml:space="preserve"> to be </w:t>
      </w:r>
      <w:r w:rsidR="007F08B3">
        <w:t>as</w:t>
      </w:r>
      <w:r>
        <w:t xml:space="preserve"> close </w:t>
      </w:r>
      <w:r w:rsidR="007F08B3">
        <w:t xml:space="preserve">to </w:t>
      </w:r>
      <w:r w:rsidR="007F08B3" w:rsidRPr="00FF0A40">
        <w:rPr>
          <w:i/>
        </w:rPr>
        <w:t>J</w:t>
      </w:r>
      <w:r w:rsidR="00FF0A40" w:rsidRPr="00FF0A40">
        <w:rPr>
          <w:i/>
        </w:rPr>
        <w:t xml:space="preserve">ane </w:t>
      </w:r>
      <w:r w:rsidR="007F08B3" w:rsidRPr="00FF0A40">
        <w:rPr>
          <w:i/>
        </w:rPr>
        <w:t>E</w:t>
      </w:r>
      <w:r w:rsidR="00FF0A40" w:rsidRPr="00FF0A40">
        <w:rPr>
          <w:i/>
        </w:rPr>
        <w:t>yre</w:t>
      </w:r>
      <w:r w:rsidR="007F08B3">
        <w:t xml:space="preserve"> </w:t>
      </w:r>
      <w:r>
        <w:t xml:space="preserve">as </w:t>
      </w:r>
      <w:r w:rsidR="00FE7C7D">
        <w:t xml:space="preserve">are </w:t>
      </w:r>
      <w:r>
        <w:t>other American and English</w:t>
      </w:r>
      <w:r w:rsidR="00F601AC">
        <w:t xml:space="preserve"> novels that </w:t>
      </w:r>
      <w:r w:rsidR="00A64073">
        <w:t xml:space="preserve">American </w:t>
      </w:r>
      <w:r w:rsidR="00F601AC">
        <w:t>publishers list</w:t>
      </w:r>
      <w:r w:rsidR="00A64073">
        <w:t>ed</w:t>
      </w:r>
      <w:r w:rsidR="00F601AC">
        <w:t xml:space="preserve"> as</w:t>
      </w:r>
      <w:r>
        <w:t xml:space="preserve"> </w:t>
      </w:r>
      <w:commentRangeStart w:id="12"/>
      <w:r>
        <w:t>favorites</w:t>
      </w:r>
      <w:commentRangeEnd w:id="12"/>
      <w:r w:rsidR="00FF0A40">
        <w:rPr>
          <w:rStyle w:val="CommentReference"/>
          <w:vanish/>
        </w:rPr>
        <w:commentReference w:id="12"/>
      </w:r>
      <w:r w:rsidR="00F601AC">
        <w:t xml:space="preserve"> in 1876.</w:t>
      </w:r>
      <w:r w:rsidR="002B7E48">
        <w:rPr>
          <w:i/>
        </w:rPr>
        <w:t xml:space="preserve"> </w:t>
      </w:r>
      <w:r w:rsidR="000058E4" w:rsidRPr="000058E4">
        <w:rPr>
          <w:i/>
        </w:rPr>
        <w:t xml:space="preserve"> </w:t>
      </w:r>
      <w:r w:rsidR="00C9436C">
        <w:rPr>
          <w:i/>
        </w:rPr>
        <w:t xml:space="preserve">The Old </w:t>
      </w:r>
      <w:proofErr w:type="spellStart"/>
      <w:r w:rsidR="00C9436C">
        <w:rPr>
          <w:i/>
        </w:rPr>
        <w:t>Mam’selle’s</w:t>
      </w:r>
      <w:proofErr w:type="spellEnd"/>
      <w:r w:rsidR="00C9436C">
        <w:rPr>
          <w:i/>
        </w:rPr>
        <w:t xml:space="preserve"> S</w:t>
      </w:r>
      <w:r w:rsidR="000058E4" w:rsidRPr="000058E4">
        <w:rPr>
          <w:i/>
        </w:rPr>
        <w:t>ecret</w:t>
      </w:r>
      <w:r w:rsidR="007E228B">
        <w:t xml:space="preserve"> </w:t>
      </w:r>
      <w:r w:rsidR="00FE7C7D">
        <w:t xml:space="preserve">instead </w:t>
      </w:r>
      <w:r w:rsidR="008D27CD">
        <w:t>shows greater affinity to</w:t>
      </w:r>
      <w:r w:rsidR="007E228B">
        <w:t xml:space="preserve"> other German domestic fiction</w:t>
      </w:r>
      <w:r w:rsidR="00064614">
        <w:t>, as measured by topic modeling</w:t>
      </w:r>
      <w:r w:rsidR="007E228B">
        <w:t>.</w:t>
      </w:r>
      <w:r w:rsidR="000058E4">
        <w:rPr>
          <w:rStyle w:val="EndnoteReference"/>
        </w:rPr>
        <w:endnoteReference w:id="29"/>
      </w:r>
      <w:r w:rsidR="007F08B3">
        <w:t xml:space="preserve"> On the other hand</w:t>
      </w:r>
      <w:r w:rsidR="00FE7C7D">
        <w:t>,</w:t>
      </w:r>
      <w:r w:rsidR="00094E21">
        <w:t xml:space="preserve"> </w:t>
      </w:r>
      <w:r w:rsidR="003E5510">
        <w:t>it</w:t>
      </w:r>
      <w:r w:rsidR="007F08B3">
        <w:t xml:space="preserve"> is far closer to </w:t>
      </w:r>
      <w:r w:rsidR="007F08B3" w:rsidRPr="000058E4">
        <w:rPr>
          <w:i/>
        </w:rPr>
        <w:t>J</w:t>
      </w:r>
      <w:r w:rsidR="000058E4" w:rsidRPr="000058E4">
        <w:rPr>
          <w:i/>
        </w:rPr>
        <w:t xml:space="preserve">ane </w:t>
      </w:r>
      <w:r w:rsidR="007F08B3" w:rsidRPr="000058E4">
        <w:rPr>
          <w:i/>
        </w:rPr>
        <w:t>E</w:t>
      </w:r>
      <w:r w:rsidR="000058E4" w:rsidRPr="000058E4">
        <w:rPr>
          <w:i/>
        </w:rPr>
        <w:t>yre</w:t>
      </w:r>
      <w:r w:rsidR="007F08B3">
        <w:t xml:space="preserve"> than such noticeable outliers on this list as </w:t>
      </w:r>
      <w:r w:rsidR="007F08B3" w:rsidRPr="009C6C51">
        <w:rPr>
          <w:i/>
        </w:rPr>
        <w:t>Robinson Crusoe</w:t>
      </w:r>
      <w:r w:rsidR="007F08B3">
        <w:t xml:space="preserve">, </w:t>
      </w:r>
      <w:r w:rsidR="007F08B3" w:rsidRPr="009C6C51">
        <w:rPr>
          <w:i/>
        </w:rPr>
        <w:t>Don Quixote</w:t>
      </w:r>
      <w:r w:rsidR="007F08B3">
        <w:t xml:space="preserve">, </w:t>
      </w:r>
      <w:r w:rsidR="0031126B" w:rsidRPr="009C6C51">
        <w:rPr>
          <w:i/>
        </w:rPr>
        <w:t>The Count of Monte Cristo</w:t>
      </w:r>
      <w:r w:rsidR="0031126B">
        <w:t xml:space="preserve">, and </w:t>
      </w:r>
      <w:r w:rsidR="0031126B" w:rsidRPr="009C6C51">
        <w:rPr>
          <w:i/>
        </w:rPr>
        <w:t>The Last of the Mohicans</w:t>
      </w:r>
      <w:r w:rsidR="0031126B">
        <w:t>.</w:t>
      </w:r>
      <w:r w:rsidR="00E3797E">
        <w:rPr>
          <w:rStyle w:val="EndnoteReference"/>
        </w:rPr>
        <w:endnoteReference w:id="30"/>
      </w:r>
      <w:r w:rsidR="0031126B">
        <w:t xml:space="preserve">  The presence </w:t>
      </w:r>
      <w:r w:rsidR="00A64073">
        <w:t xml:space="preserve">on this list </w:t>
      </w:r>
      <w:r w:rsidR="0031126B">
        <w:t xml:space="preserve">especially of the </w:t>
      </w:r>
      <w:r w:rsidR="00D1251C">
        <w:t>novels by Defoe and Cervantes</w:t>
      </w:r>
      <w:r w:rsidR="00C9436C">
        <w:t>, which both textual analysis</w:t>
      </w:r>
      <w:r w:rsidR="00FE7C7D">
        <w:t xml:space="preserve"> and topic modeling tag as standouts,</w:t>
      </w:r>
      <w:r w:rsidR="0031126B">
        <w:t xml:space="preserve"> suggests that they endure </w:t>
      </w:r>
      <w:r w:rsidR="00D1251C">
        <w:t>in nineteenth-</w:t>
      </w:r>
      <w:r w:rsidR="000C1F8F">
        <w:t>century</w:t>
      </w:r>
      <w:r w:rsidR="00D1251C">
        <w:t xml:space="preserve"> American publishing and reading</w:t>
      </w:r>
      <w:r w:rsidR="000C1F8F">
        <w:t xml:space="preserve"> </w:t>
      </w:r>
      <w:r w:rsidR="0031126B">
        <w:t xml:space="preserve">as one of a kind whose </w:t>
      </w:r>
      <w:r w:rsidR="000C1F8F">
        <w:t xml:space="preserve">many </w:t>
      </w:r>
      <w:r w:rsidR="0031126B">
        <w:t>imitations</w:t>
      </w:r>
      <w:r w:rsidR="000E305F">
        <w:t>,</w:t>
      </w:r>
      <w:r w:rsidR="0031126B">
        <w:t xml:space="preserve"> </w:t>
      </w:r>
      <w:r w:rsidR="000C1F8F">
        <w:t>by</w:t>
      </w:r>
      <w:r w:rsidR="00FE7C7D">
        <w:t xml:space="preserve"> 1876</w:t>
      </w:r>
      <w:r w:rsidR="000E305F">
        <w:t>,</w:t>
      </w:r>
      <w:r w:rsidR="00FE7C7D">
        <w:t xml:space="preserve"> </w:t>
      </w:r>
      <w:r w:rsidR="00C9436C">
        <w:t>had</w:t>
      </w:r>
      <w:r w:rsidR="001176F6">
        <w:t xml:space="preserve"> </w:t>
      </w:r>
      <w:r w:rsidR="0031126B">
        <w:t>fallen into</w:t>
      </w:r>
      <w:r w:rsidR="009B705C">
        <w:t xml:space="preserve"> oblivion</w:t>
      </w:r>
      <w:r w:rsidR="00870F14">
        <w:t xml:space="preserve"> or at least circulate</w:t>
      </w:r>
      <w:r w:rsidR="00C9436C">
        <w:t>d</w:t>
      </w:r>
      <w:r w:rsidR="00870F14">
        <w:t xml:space="preserve"> in contexts that did not merit the attention of the</w:t>
      </w:r>
      <w:r w:rsidR="003E5510">
        <w:t xml:space="preserve"> American</w:t>
      </w:r>
      <w:r w:rsidR="00870F14">
        <w:t xml:space="preserve"> publishers</w:t>
      </w:r>
      <w:r w:rsidR="00064614">
        <w:t xml:space="preserve"> who participated in the survey</w:t>
      </w:r>
      <w:r w:rsidR="009B705C">
        <w:t>.</w:t>
      </w:r>
      <w:r w:rsidR="004B1AB3">
        <w:t xml:space="preserve"> Figures 3, 4, and 5</w:t>
      </w:r>
      <w:r w:rsidR="005A6E94">
        <w:t xml:space="preserve"> show some sample results from topi</w:t>
      </w:r>
      <w:r w:rsidR="005F2970">
        <w:t>c modeling. Note that</w:t>
      </w:r>
      <w:r w:rsidR="00C9436C">
        <w:t xml:space="preserve"> both</w:t>
      </w:r>
      <w:r w:rsidR="005F2970">
        <w:t xml:space="preserve"> </w:t>
      </w:r>
      <w:r w:rsidR="005F2970" w:rsidRPr="005F2970">
        <w:rPr>
          <w:i/>
        </w:rPr>
        <w:t>Jane Eyre</w:t>
      </w:r>
      <w:r w:rsidR="005F2970">
        <w:t xml:space="preserve"> and </w:t>
      </w:r>
      <w:r w:rsidR="00C9436C">
        <w:rPr>
          <w:i/>
        </w:rPr>
        <w:t xml:space="preserve">The Old </w:t>
      </w:r>
      <w:proofErr w:type="spellStart"/>
      <w:r w:rsidR="00C9436C">
        <w:rPr>
          <w:i/>
        </w:rPr>
        <w:t>Mam’selle’s</w:t>
      </w:r>
      <w:proofErr w:type="spellEnd"/>
      <w:r w:rsidR="00C9436C">
        <w:rPr>
          <w:i/>
        </w:rPr>
        <w:t xml:space="preserve"> S</w:t>
      </w:r>
      <w:r w:rsidR="005F2970" w:rsidRPr="005F2970">
        <w:rPr>
          <w:i/>
        </w:rPr>
        <w:t>ecret</w:t>
      </w:r>
      <w:r w:rsidR="00C9436C">
        <w:t xml:space="preserve"> </w:t>
      </w:r>
      <w:r w:rsidR="005A6E94">
        <w:t>cluster with all the other novels, but that when measured vis-à-vis a s</w:t>
      </w:r>
      <w:r w:rsidR="004B1AB3">
        <w:t xml:space="preserve">ingle novel </w:t>
      </w:r>
      <w:r w:rsidR="004B1AB3" w:rsidRPr="005F2970">
        <w:rPr>
          <w:i/>
        </w:rPr>
        <w:t>J</w:t>
      </w:r>
      <w:r w:rsidR="005F2970" w:rsidRPr="005F2970">
        <w:rPr>
          <w:i/>
        </w:rPr>
        <w:t>ane Eyre</w:t>
      </w:r>
      <w:r w:rsidR="00A64073">
        <w:t xml:space="preserve"> is closer, as in Figure</w:t>
      </w:r>
      <w:r w:rsidR="004B1AB3">
        <w:t xml:space="preserve"> 3</w:t>
      </w:r>
      <w:r w:rsidR="00A64073">
        <w:t>, for example,</w:t>
      </w:r>
      <w:r w:rsidR="005F2970">
        <w:t xml:space="preserve"> except in the case of German novels, as </w:t>
      </w:r>
      <w:r w:rsidR="00A64073">
        <w:t>in Figure</w:t>
      </w:r>
      <w:r w:rsidR="004B1AB3">
        <w:t xml:space="preserve"> 4</w:t>
      </w:r>
      <w:r w:rsidR="00064614">
        <w:t xml:space="preserve">, where </w:t>
      </w:r>
      <w:r w:rsidR="00064614">
        <w:rPr>
          <w:i/>
        </w:rPr>
        <w:t xml:space="preserve">The Old </w:t>
      </w:r>
      <w:proofErr w:type="spellStart"/>
      <w:r w:rsidR="00064614">
        <w:rPr>
          <w:i/>
        </w:rPr>
        <w:t>Mam’selle’s</w:t>
      </w:r>
      <w:proofErr w:type="spellEnd"/>
      <w:r w:rsidR="00064614">
        <w:rPr>
          <w:i/>
        </w:rPr>
        <w:t xml:space="preserve"> Secret</w:t>
      </w:r>
      <w:r w:rsidR="00064614">
        <w:t xml:space="preserve">, as translated by Wister, is closer to </w:t>
      </w:r>
      <w:proofErr w:type="spellStart"/>
      <w:r w:rsidR="00064614">
        <w:t>Wilhelmine</w:t>
      </w:r>
      <w:proofErr w:type="spellEnd"/>
      <w:r w:rsidR="00064614">
        <w:t xml:space="preserve"> von </w:t>
      </w:r>
      <w:proofErr w:type="spellStart"/>
      <w:r w:rsidR="00064614">
        <w:t>Hillern’s</w:t>
      </w:r>
      <w:proofErr w:type="spellEnd"/>
      <w:r w:rsidR="00064614">
        <w:t xml:space="preserve"> </w:t>
      </w:r>
      <w:r w:rsidR="00064614">
        <w:rPr>
          <w:i/>
        </w:rPr>
        <w:t>Only a Girl</w:t>
      </w:r>
      <w:r w:rsidR="00064614">
        <w:t>, also translated by Wister</w:t>
      </w:r>
      <w:r w:rsidR="005F2970">
        <w:t xml:space="preserve">. </w:t>
      </w:r>
      <w:r w:rsidR="005A6E94" w:rsidRPr="005F2970">
        <w:rPr>
          <w:i/>
        </w:rPr>
        <w:t>Don Quixote</w:t>
      </w:r>
      <w:r w:rsidR="005A6E94">
        <w:t xml:space="preserve"> and </w:t>
      </w:r>
      <w:r w:rsidR="005A6E94" w:rsidRPr="005F2970">
        <w:rPr>
          <w:i/>
        </w:rPr>
        <w:t>Robinson Crusoe</w:t>
      </w:r>
      <w:r w:rsidR="005A6E94">
        <w:t xml:space="preserve"> always turn up as o</w:t>
      </w:r>
      <w:r w:rsidR="005F2970">
        <w:t xml:space="preserve">utliers, as is apparent in all three examples, especially </w:t>
      </w:r>
      <w:r w:rsidR="00C9436C">
        <w:t>Figure</w:t>
      </w:r>
      <w:r w:rsidR="004B1AB3">
        <w:t xml:space="preserve"> 5</w:t>
      </w:r>
      <w:r w:rsidR="005A6E94">
        <w:t xml:space="preserve">. </w:t>
      </w:r>
    </w:p>
    <w:p w:rsidR="008E6C5B" w:rsidRDefault="0031126B" w:rsidP="005A572F">
      <w:pPr>
        <w:spacing w:line="480" w:lineRule="auto"/>
        <w:ind w:right="-360" w:firstLine="720"/>
      </w:pPr>
      <w:r>
        <w:t xml:space="preserve">If </w:t>
      </w:r>
      <w:r w:rsidRPr="0031126B">
        <w:rPr>
          <w:i/>
        </w:rPr>
        <w:t>Jane Eyre</w:t>
      </w:r>
      <w:r>
        <w:t xml:space="preserve"> </w:t>
      </w:r>
      <w:r w:rsidR="00590E87">
        <w:t>led</w:t>
      </w:r>
      <w:r w:rsidR="00BC55F4">
        <w:t xml:space="preserve"> American sales</w:t>
      </w:r>
      <w:r>
        <w:t xml:space="preserve"> in 1876, data f</w:t>
      </w:r>
      <w:r w:rsidR="00CB46E3">
        <w:t xml:space="preserve">rom the Muncie readers </w:t>
      </w:r>
      <w:r w:rsidR="00590E87">
        <w:t>suggest</w:t>
      </w:r>
      <w:r w:rsidR="00567CE0">
        <w:t xml:space="preserve"> that the novel’s circulation has diminished</w:t>
      </w:r>
      <w:r>
        <w:t xml:space="preserve">. </w:t>
      </w:r>
      <w:r w:rsidR="000052D9">
        <w:t>T</w:t>
      </w:r>
      <w:r w:rsidR="002B7E48">
        <w:t xml:space="preserve">wo decades later, </w:t>
      </w:r>
      <w:r w:rsidR="003E5510">
        <w:t>in Muncie</w:t>
      </w:r>
      <w:r w:rsidR="001176F6">
        <w:t>, the 212</w:t>
      </w:r>
      <w:r w:rsidR="000052D9">
        <w:t xml:space="preserve"> transactions recorded for</w:t>
      </w:r>
      <w:r w:rsidR="00A25441" w:rsidRPr="00A25441">
        <w:rPr>
          <w:i/>
        </w:rPr>
        <w:t xml:space="preserve"> </w:t>
      </w:r>
      <w:r w:rsidR="00A64073">
        <w:rPr>
          <w:i/>
        </w:rPr>
        <w:t xml:space="preserve">The Old </w:t>
      </w:r>
      <w:proofErr w:type="spellStart"/>
      <w:r w:rsidR="00A64073">
        <w:rPr>
          <w:i/>
        </w:rPr>
        <w:t>Mam’selle’s</w:t>
      </w:r>
      <w:proofErr w:type="spellEnd"/>
      <w:r w:rsidR="00A64073">
        <w:rPr>
          <w:i/>
        </w:rPr>
        <w:t xml:space="preserve"> </w:t>
      </w:r>
      <w:r w:rsidR="00DE1F68" w:rsidRPr="00A25441">
        <w:rPr>
          <w:i/>
        </w:rPr>
        <w:t>S</w:t>
      </w:r>
      <w:r w:rsidR="00A25441" w:rsidRPr="00A25441">
        <w:rPr>
          <w:i/>
        </w:rPr>
        <w:t>ecret</w:t>
      </w:r>
      <w:r w:rsidR="00DE1F68">
        <w:t xml:space="preserve"> surpassed the</w:t>
      </w:r>
      <w:r w:rsidR="002B7E48">
        <w:t xml:space="preserve"> 11</w:t>
      </w:r>
      <w:r w:rsidR="000052D9">
        <w:t xml:space="preserve">6 transactions </w:t>
      </w:r>
      <w:r w:rsidR="002B7E48">
        <w:t xml:space="preserve">for </w:t>
      </w:r>
      <w:r w:rsidR="002B7E48">
        <w:rPr>
          <w:i/>
        </w:rPr>
        <w:t>Jane Eyre</w:t>
      </w:r>
      <w:r w:rsidR="001176F6">
        <w:t xml:space="preserve"> by 83</w:t>
      </w:r>
      <w:r w:rsidR="00DE1F68">
        <w:t>%.</w:t>
      </w:r>
      <w:r w:rsidR="00FE7C7D">
        <w:t xml:space="preserve"> </w:t>
      </w:r>
      <w:r w:rsidR="00F601AC" w:rsidRPr="008427C8">
        <w:rPr>
          <w:i/>
        </w:rPr>
        <w:t>Jane Eyre</w:t>
      </w:r>
      <w:r w:rsidR="00E27003" w:rsidRPr="008427C8">
        <w:t xml:space="preserve"> is</w:t>
      </w:r>
      <w:r w:rsidR="005A572F" w:rsidRPr="008427C8">
        <w:t xml:space="preserve"> of course</w:t>
      </w:r>
      <w:r w:rsidR="00590E87">
        <w:t xml:space="preserve"> now</w:t>
      </w:r>
      <w:r w:rsidR="00E27003" w:rsidRPr="008427C8">
        <w:t xml:space="preserve"> considered</w:t>
      </w:r>
      <w:r w:rsidR="00F601AC" w:rsidRPr="008427C8">
        <w:t xml:space="preserve"> classic reading</w:t>
      </w:r>
      <w:r w:rsidR="00567CE0" w:rsidRPr="008427C8">
        <w:t xml:space="preserve"> and in that sense </w:t>
      </w:r>
      <w:r w:rsidR="00FF27CA">
        <w:t xml:space="preserve">has </w:t>
      </w:r>
      <w:r w:rsidR="00590E87">
        <w:t>acquired the</w:t>
      </w:r>
      <w:r w:rsidR="00567CE0" w:rsidRPr="008427C8">
        <w:t xml:space="preserve"> status of </w:t>
      </w:r>
      <w:r w:rsidR="00567CE0" w:rsidRPr="005F2970">
        <w:rPr>
          <w:i/>
        </w:rPr>
        <w:t>Don Quixote</w:t>
      </w:r>
      <w:r w:rsidR="00567CE0" w:rsidRPr="008427C8">
        <w:t xml:space="preserve"> or </w:t>
      </w:r>
      <w:r w:rsidR="00567CE0" w:rsidRPr="005F2970">
        <w:rPr>
          <w:i/>
        </w:rPr>
        <w:t>Daniel Defoe</w:t>
      </w:r>
      <w:r w:rsidR="00567CE0" w:rsidRPr="008427C8">
        <w:t xml:space="preserve"> as stand out, important reading</w:t>
      </w:r>
      <w:r w:rsidR="003E5510" w:rsidRPr="008427C8">
        <w:t>;</w:t>
      </w:r>
      <w:r w:rsidR="00F601AC" w:rsidRPr="008427C8">
        <w:t xml:space="preserve"> </w:t>
      </w:r>
      <w:r w:rsidR="009B705C" w:rsidRPr="008427C8">
        <w:t xml:space="preserve">in Muncie in the 1890s, </w:t>
      </w:r>
      <w:r w:rsidR="003E5510" w:rsidRPr="008427C8">
        <w:t xml:space="preserve">however, </w:t>
      </w:r>
      <w:r w:rsidR="00F601AC" w:rsidRPr="008427C8">
        <w:t>the</w:t>
      </w:r>
      <w:r w:rsidR="009B705C">
        <w:t xml:space="preserve"> </w:t>
      </w:r>
      <w:r w:rsidR="00480AEE">
        <w:t xml:space="preserve">then fifty-year-old </w:t>
      </w:r>
      <w:r w:rsidR="009B705C">
        <w:t xml:space="preserve">novel lived on </w:t>
      </w:r>
      <w:r w:rsidR="00480AEE">
        <w:t xml:space="preserve">as favorite </w:t>
      </w:r>
      <w:r w:rsidR="00590E87">
        <w:t>leisure-time reading</w:t>
      </w:r>
      <w:r w:rsidR="00480AEE">
        <w:t xml:space="preserve"> </w:t>
      </w:r>
      <w:r w:rsidR="005F2970">
        <w:t>not so</w:t>
      </w:r>
      <w:r w:rsidR="00F601AC">
        <w:t xml:space="preserve"> much in its own ski</w:t>
      </w:r>
      <w:r w:rsidR="002648FA">
        <w:t>n as</w:t>
      </w:r>
      <w:r w:rsidR="00F601AC">
        <w:t xml:space="preserve"> </w:t>
      </w:r>
      <w:r w:rsidR="00712BF1">
        <w:t>in its avatars. Those seeki</w:t>
      </w:r>
      <w:r w:rsidR="00590E87">
        <w:t xml:space="preserve">ng foreign settings, happy endings, mystery, drama, </w:t>
      </w:r>
      <w:r w:rsidR="00712BF1">
        <w:t>an</w:t>
      </w:r>
      <w:r w:rsidR="00590E87">
        <w:t xml:space="preserve">d adventure framed by </w:t>
      </w:r>
      <w:proofErr w:type="gramStart"/>
      <w:r w:rsidR="00590E87">
        <w:t>domesticity,</w:t>
      </w:r>
      <w:proofErr w:type="gramEnd"/>
      <w:r w:rsidR="00712BF1">
        <w:t xml:space="preserve"> </w:t>
      </w:r>
      <w:r w:rsidR="00590E87">
        <w:t>with romance culminating</w:t>
      </w:r>
      <w:r w:rsidR="00776B1C">
        <w:t xml:space="preserve"> in</w:t>
      </w:r>
      <w:r w:rsidR="00CB46E3">
        <w:t xml:space="preserve"> marriage</w:t>
      </w:r>
      <w:r w:rsidR="00776B1C">
        <w:t xml:space="preserve"> </w:t>
      </w:r>
      <w:r w:rsidR="00712BF1">
        <w:t xml:space="preserve">could </w:t>
      </w:r>
      <w:r w:rsidR="005A572F">
        <w:t>find those el</w:t>
      </w:r>
      <w:r w:rsidR="00567CE0">
        <w:t xml:space="preserve">ements in, among other novels, </w:t>
      </w:r>
      <w:proofErr w:type="spellStart"/>
      <w:r w:rsidR="005A572F" w:rsidRPr="002648FA">
        <w:t>Marlitt’s</w:t>
      </w:r>
      <w:proofErr w:type="spellEnd"/>
      <w:r w:rsidR="005A572F" w:rsidRPr="002648FA">
        <w:t xml:space="preserve"> much shorter </w:t>
      </w:r>
      <w:r w:rsidR="005A572F" w:rsidRPr="002648FA">
        <w:rPr>
          <w:i/>
        </w:rPr>
        <w:t xml:space="preserve">Old </w:t>
      </w:r>
      <w:proofErr w:type="spellStart"/>
      <w:r w:rsidR="005A572F" w:rsidRPr="002648FA">
        <w:rPr>
          <w:i/>
        </w:rPr>
        <w:t>Mam’selle’s</w:t>
      </w:r>
      <w:proofErr w:type="spellEnd"/>
      <w:r w:rsidR="005A572F" w:rsidRPr="002648FA">
        <w:rPr>
          <w:i/>
        </w:rPr>
        <w:t xml:space="preserve"> Secret</w:t>
      </w:r>
      <w:r w:rsidR="005A572F" w:rsidRPr="002648FA">
        <w:t xml:space="preserve">. </w:t>
      </w:r>
    </w:p>
    <w:p w:rsidR="008E6C5B" w:rsidRDefault="008E6C5B" w:rsidP="008E6C5B">
      <w:pPr>
        <w:spacing w:line="480" w:lineRule="auto"/>
        <w:ind w:firstLine="720"/>
      </w:pPr>
      <w:r>
        <w:rPr>
          <w:bCs/>
        </w:rPr>
        <w:t xml:space="preserve">A </w:t>
      </w:r>
      <w:r>
        <w:rPr>
          <w:b/>
          <w:bCs/>
        </w:rPr>
        <w:t xml:space="preserve"> </w:t>
      </w:r>
      <w:r>
        <w:rPr>
          <w:bCs/>
        </w:rPr>
        <w:t xml:space="preserve">“market </w:t>
      </w:r>
      <w:commentRangeStart w:id="13"/>
      <w:r>
        <w:rPr>
          <w:bCs/>
        </w:rPr>
        <w:t>b</w:t>
      </w:r>
      <w:r w:rsidRPr="000455F1">
        <w:rPr>
          <w:bCs/>
        </w:rPr>
        <w:t>asket</w:t>
      </w:r>
      <w:commentRangeEnd w:id="13"/>
      <w:r>
        <w:rPr>
          <w:rStyle w:val="CommentReference"/>
          <w:vanish/>
        </w:rPr>
        <w:commentReference w:id="13"/>
      </w:r>
      <w:r>
        <w:rPr>
          <w:bCs/>
        </w:rPr>
        <w:t>,</w:t>
      </w:r>
      <w:r w:rsidRPr="000455F1">
        <w:rPr>
          <w:bCs/>
        </w:rPr>
        <w:t>”</w:t>
      </w:r>
      <w:r>
        <w:rPr>
          <w:bCs/>
        </w:rPr>
        <w:t xml:space="preserve"> that is, affinity,</w:t>
      </w:r>
      <w:r w:rsidRPr="000455F1">
        <w:rPr>
          <w:bCs/>
        </w:rPr>
        <w:t xml:space="preserve"> analysis of the Muncie data by author</w:t>
      </w:r>
      <w:r>
        <w:t xml:space="preserve"> suggests how </w:t>
      </w:r>
      <w:proofErr w:type="spellStart"/>
      <w:r>
        <w:t>Marlitt’s</w:t>
      </w:r>
      <w:proofErr w:type="spellEnd"/>
      <w:r>
        <w:t xml:space="preserve"> novels figured among other favorite reading in the Muncie Public Library.  The most-read </w:t>
      </w:r>
      <w:proofErr w:type="gramStart"/>
      <w:r>
        <w:t>authors</w:t>
      </w:r>
      <w:proofErr w:type="gramEnd"/>
      <w:r>
        <w:t xml:space="preserve"> sort into roughly three clusters according to reader choices.  </w:t>
      </w:r>
      <w:proofErr w:type="gramStart"/>
      <w:r>
        <w:t>The upper right cluster in Figure 6 is formed by readers whose taste gravitated toward Horatio Alger and related authors</w:t>
      </w:r>
      <w:proofErr w:type="gramEnd"/>
      <w:r>
        <w:t xml:space="preserve">.  The Lower right cluster comprises Alcott and similar authors, as </w:t>
      </w:r>
      <w:proofErr w:type="gramStart"/>
      <w:r>
        <w:t>they were preferred by the Muncie readers</w:t>
      </w:r>
      <w:proofErr w:type="gramEnd"/>
      <w:r>
        <w:t xml:space="preserve">.  </w:t>
      </w:r>
      <w:r w:rsidRPr="00F650B0">
        <w:rPr>
          <w:highlight w:val="green"/>
        </w:rPr>
        <w:t xml:space="preserve">The large and much more diffuse left-hand cluster includes </w:t>
      </w:r>
      <w:proofErr w:type="spellStart"/>
      <w:r w:rsidRPr="00F650B0">
        <w:rPr>
          <w:highlight w:val="green"/>
        </w:rPr>
        <w:t>Marlitt</w:t>
      </w:r>
      <w:proofErr w:type="spellEnd"/>
      <w:r w:rsidRPr="00F650B0">
        <w:rPr>
          <w:highlight w:val="green"/>
        </w:rPr>
        <w:t xml:space="preserve"> (marked in green), as well as Roe, Alexander, Evans, Carey, Crawford, Corelli, Burnham, Burnett, Barr, et al.; the tiny red dot is </w:t>
      </w:r>
      <w:proofErr w:type="spellStart"/>
      <w:r w:rsidRPr="00F650B0">
        <w:rPr>
          <w:highlight w:val="green"/>
        </w:rPr>
        <w:t>Brontë</w:t>
      </w:r>
      <w:proofErr w:type="spellEnd"/>
      <w:r w:rsidRPr="00F650B0">
        <w:rPr>
          <w:highlight w:val="green"/>
        </w:rPr>
        <w:t>. Except for Corelli</w:t>
      </w:r>
      <w:proofErr w:type="gramStart"/>
      <w:r w:rsidRPr="00F650B0">
        <w:rPr>
          <w:highlight w:val="green"/>
        </w:rPr>
        <w:t>???,</w:t>
      </w:r>
      <w:proofErr w:type="gramEnd"/>
      <w:r w:rsidRPr="00F650B0">
        <w:rPr>
          <w:highlight w:val="green"/>
        </w:rPr>
        <w:t xml:space="preserve"> books by  the most-read authors in this cluster also appear on the 1876 list</w:t>
      </w:r>
      <w:commentRangeStart w:id="14"/>
      <w:r w:rsidRPr="00F650B0">
        <w:rPr>
          <w:highlight w:val="green"/>
        </w:rPr>
        <w:t>.</w:t>
      </w:r>
      <w:r w:rsidRPr="00F650B0">
        <w:rPr>
          <w:rStyle w:val="EndnoteReference"/>
          <w:highlight w:val="green"/>
        </w:rPr>
        <w:endnoteReference w:id="31"/>
      </w:r>
      <w:commentRangeEnd w:id="14"/>
      <w:r>
        <w:rPr>
          <w:rStyle w:val="CommentReference"/>
          <w:vanish/>
        </w:rPr>
        <w:commentReference w:id="14"/>
      </w:r>
      <w:r w:rsidRPr="00F650B0">
        <w:rPr>
          <w:highlight w:val="green"/>
        </w:rPr>
        <w:t xml:space="preserve"> While this cluster appears to be more eclectic than the other two, the presence of </w:t>
      </w:r>
      <w:proofErr w:type="spellStart"/>
      <w:r w:rsidRPr="00F650B0">
        <w:rPr>
          <w:highlight w:val="green"/>
        </w:rPr>
        <w:t>xxxxxx</w:t>
      </w:r>
      <w:proofErr w:type="spellEnd"/>
      <w:r w:rsidRPr="00F650B0">
        <w:rPr>
          <w:highlight w:val="green"/>
        </w:rPr>
        <w:t xml:space="preserve"> suggests </w:t>
      </w:r>
      <w:commentRangeStart w:id="15"/>
      <w:r w:rsidRPr="00F650B0">
        <w:rPr>
          <w:highlight w:val="green"/>
        </w:rPr>
        <w:t>XXXX</w:t>
      </w:r>
      <w:commentRangeEnd w:id="15"/>
      <w:r>
        <w:rPr>
          <w:rStyle w:val="CommentReference"/>
          <w:vanish/>
        </w:rPr>
        <w:commentReference w:id="15"/>
      </w:r>
      <w:proofErr w:type="gramStart"/>
      <w:r w:rsidRPr="00F650B0">
        <w:rPr>
          <w:highlight w:val="green"/>
        </w:rPr>
        <w:t>.?????</w:t>
      </w:r>
      <w:proofErr w:type="gramEnd"/>
      <w:r>
        <w:t xml:space="preserve"> </w:t>
      </w:r>
    </w:p>
    <w:p w:rsidR="008E6C5B" w:rsidRDefault="008E6C5B" w:rsidP="008E6C5B">
      <w:pPr>
        <w:spacing w:line="480" w:lineRule="auto"/>
        <w:ind w:firstLine="720"/>
      </w:pPr>
    </w:p>
    <w:p w:rsidR="0043484A" w:rsidRDefault="008E6C5B" w:rsidP="008E6C5B">
      <w:pPr>
        <w:spacing w:line="480" w:lineRule="auto"/>
        <w:ind w:right="-360"/>
      </w:pPr>
      <w:r>
        <w:tab/>
      </w:r>
      <w:r>
        <w:tab/>
      </w:r>
      <w:r>
        <w:tab/>
      </w:r>
      <w:r>
        <w:tab/>
      </w:r>
      <w:r>
        <w:tab/>
        <w:t>* * *</w:t>
      </w:r>
    </w:p>
    <w:p w:rsidR="00712BF1" w:rsidRDefault="002B7E48" w:rsidP="00DB58AB">
      <w:pPr>
        <w:spacing w:line="480" w:lineRule="auto"/>
        <w:ind w:right="-360" w:firstLine="720"/>
        <w:rPr>
          <w:highlight w:val="yellow"/>
        </w:rPr>
      </w:pPr>
      <w:proofErr w:type="spellStart"/>
      <w:r>
        <w:t>Moretti</w:t>
      </w:r>
      <w:proofErr w:type="spellEnd"/>
      <w:r w:rsidR="00640633">
        <w:t xml:space="preserve"> asserts in his </w:t>
      </w:r>
      <w:r w:rsidR="00640633">
        <w:rPr>
          <w:i/>
        </w:rPr>
        <w:t>Maps, Graphs, and Trees</w:t>
      </w:r>
      <w:r w:rsidR="00F9737D">
        <w:t xml:space="preserve"> </w:t>
      </w:r>
      <w:r w:rsidR="00776B1C">
        <w:t>that</w:t>
      </w:r>
      <w:r w:rsidR="00651965">
        <w:t xml:space="preserve"> “normal literature”</w:t>
      </w:r>
      <w:r w:rsidR="00776B1C">
        <w:t xml:space="preserve"> lasts </w:t>
      </w:r>
      <w:r w:rsidR="003E5510">
        <w:t>twenty-five to thir</w:t>
      </w:r>
      <w:r w:rsidR="00F9737D">
        <w:t>ty</w:t>
      </w:r>
      <w:r>
        <w:t xml:space="preserve"> years</w:t>
      </w:r>
      <w:r w:rsidR="00640633">
        <w:t xml:space="preserve">. By this measure </w:t>
      </w:r>
      <w:r w:rsidR="008427C8">
        <w:t>diminishing</w:t>
      </w:r>
      <w:r w:rsidR="00651965">
        <w:t xml:space="preserve"> reader interest</w:t>
      </w:r>
      <w:r w:rsidR="000C1F8F">
        <w:t xml:space="preserve"> in</w:t>
      </w:r>
      <w:r w:rsidR="007E228B">
        <w:t xml:space="preserve"> </w:t>
      </w:r>
      <w:r w:rsidR="007E228B" w:rsidRPr="0077407D">
        <w:rPr>
          <w:i/>
        </w:rPr>
        <w:t>J</w:t>
      </w:r>
      <w:r w:rsidR="0077407D" w:rsidRPr="0077407D">
        <w:rPr>
          <w:i/>
        </w:rPr>
        <w:t xml:space="preserve">ane </w:t>
      </w:r>
      <w:r w:rsidR="007E228B" w:rsidRPr="0077407D">
        <w:rPr>
          <w:i/>
        </w:rPr>
        <w:t>E</w:t>
      </w:r>
      <w:r w:rsidR="0077407D" w:rsidRPr="0077407D">
        <w:rPr>
          <w:i/>
        </w:rPr>
        <w:t>yre</w:t>
      </w:r>
      <w:r w:rsidR="003E5510">
        <w:t xml:space="preserve"> as leisure-time</w:t>
      </w:r>
      <w:r w:rsidR="000C1F8F">
        <w:t xml:space="preserve"> reading </w:t>
      </w:r>
      <w:r>
        <w:t>was long overdue</w:t>
      </w:r>
      <w:r w:rsidR="00651965">
        <w:t xml:space="preserve">. </w:t>
      </w:r>
      <w:r w:rsidR="000C1F8F">
        <w:t xml:space="preserve">But by the 1890s, </w:t>
      </w:r>
      <w:r w:rsidR="00C11FA8">
        <w:rPr>
          <w:i/>
        </w:rPr>
        <w:t xml:space="preserve">The Old </w:t>
      </w:r>
      <w:proofErr w:type="spellStart"/>
      <w:r w:rsidR="00C11FA8">
        <w:rPr>
          <w:i/>
        </w:rPr>
        <w:t>Mam’selle’s</w:t>
      </w:r>
      <w:proofErr w:type="spellEnd"/>
      <w:r w:rsidR="00C11FA8">
        <w:rPr>
          <w:i/>
        </w:rPr>
        <w:t xml:space="preserve"> S</w:t>
      </w:r>
      <w:r w:rsidR="000C1F8F" w:rsidRPr="000C1F8F">
        <w:rPr>
          <w:i/>
        </w:rPr>
        <w:t>ecret</w:t>
      </w:r>
      <w:r w:rsidR="00384050">
        <w:t xml:space="preserve"> too</w:t>
      </w:r>
      <w:r w:rsidR="005A572F">
        <w:t xml:space="preserve"> was far from new</w:t>
      </w:r>
      <w:r w:rsidR="000052D9">
        <w:t xml:space="preserve">. </w:t>
      </w:r>
      <w:r w:rsidR="00776B1C">
        <w:t>The</w:t>
      </w:r>
      <w:r w:rsidR="00651965">
        <w:t xml:space="preserve"> </w:t>
      </w:r>
      <w:r w:rsidR="006052B6">
        <w:t xml:space="preserve">continued </w:t>
      </w:r>
      <w:r w:rsidR="00651965">
        <w:t>interest</w:t>
      </w:r>
      <w:r w:rsidR="00FD2E75">
        <w:t xml:space="preserve"> of</w:t>
      </w:r>
      <w:r w:rsidR="001176F6">
        <w:t xml:space="preserve"> </w:t>
      </w:r>
      <w:r w:rsidR="00776B1C">
        <w:t>1890s</w:t>
      </w:r>
      <w:r w:rsidR="00FD2E75">
        <w:t xml:space="preserve"> Muncie readers </w:t>
      </w:r>
      <w:r w:rsidR="000C1F8F">
        <w:t xml:space="preserve">in </w:t>
      </w:r>
      <w:proofErr w:type="spellStart"/>
      <w:r w:rsidR="000C1F8F">
        <w:t>Marlitt’s</w:t>
      </w:r>
      <w:proofErr w:type="spellEnd"/>
      <w:r w:rsidR="000C1F8F">
        <w:t xml:space="preserve"> novel</w:t>
      </w:r>
      <w:r w:rsidR="0043484A">
        <w:t xml:space="preserve"> </w:t>
      </w:r>
      <w:r w:rsidR="00651965" w:rsidRPr="002648FA">
        <w:t>may tell us s</w:t>
      </w:r>
      <w:r w:rsidR="000052D9" w:rsidRPr="002648FA">
        <w:t>omethin</w:t>
      </w:r>
      <w:r w:rsidR="00022F23" w:rsidRPr="002648FA">
        <w:t>g different about the longevity and vitality</w:t>
      </w:r>
      <w:r w:rsidR="0024423C" w:rsidRPr="002648FA">
        <w:t xml:space="preserve"> of </w:t>
      </w:r>
      <w:r w:rsidR="0031126B" w:rsidRPr="002648FA">
        <w:t xml:space="preserve">literary </w:t>
      </w:r>
      <w:r w:rsidR="0024423C" w:rsidRPr="002648FA">
        <w:t>genres</w:t>
      </w:r>
      <w:r w:rsidR="0051062C" w:rsidRPr="002648FA">
        <w:t xml:space="preserve"> </w:t>
      </w:r>
      <w:r w:rsidR="00626659">
        <w:t xml:space="preserve">or fashions </w:t>
      </w:r>
      <w:r w:rsidR="00064614">
        <w:t xml:space="preserve">from what </w:t>
      </w:r>
      <w:proofErr w:type="spellStart"/>
      <w:r w:rsidR="00064614">
        <w:t>Moretti</w:t>
      </w:r>
      <w:proofErr w:type="spellEnd"/>
      <w:r w:rsidR="00064614">
        <w:t xml:space="preserve"> </w:t>
      </w:r>
      <w:proofErr w:type="gramStart"/>
      <w:r w:rsidR="00064614">
        <w:t>observes  here</w:t>
      </w:r>
      <w:proofErr w:type="gramEnd"/>
      <w:r w:rsidR="008D71B7" w:rsidRPr="002648FA">
        <w:t>.</w:t>
      </w:r>
    </w:p>
    <w:p w:rsidR="00A64073" w:rsidRDefault="00640633" w:rsidP="00BC55F4">
      <w:pPr>
        <w:spacing w:line="480" w:lineRule="auto"/>
        <w:ind w:right="-360" w:firstLine="720"/>
      </w:pPr>
      <w:r>
        <w:t>In studying</w:t>
      </w:r>
      <w:r w:rsidR="00D93885">
        <w:t xml:space="preserve"> British</w:t>
      </w:r>
      <w:r>
        <w:t xml:space="preserve"> hegemonic forms, 1760-1850</w:t>
      </w:r>
      <w:r w:rsidR="00D93885">
        <w:t xml:space="preserve">, </w:t>
      </w:r>
      <w:proofErr w:type="spellStart"/>
      <w:r w:rsidR="0024423C">
        <w:t>Moretti</w:t>
      </w:r>
      <w:proofErr w:type="spellEnd"/>
      <w:r w:rsidR="0024423C">
        <w:t xml:space="preserve"> looks only</w:t>
      </w:r>
      <w:r w:rsidR="00651965">
        <w:t xml:space="preserve"> a</w:t>
      </w:r>
      <w:r w:rsidR="000052D9">
        <w:t>t</w:t>
      </w:r>
      <w:r w:rsidR="00D93885">
        <w:t xml:space="preserve"> data for</w:t>
      </w:r>
      <w:r w:rsidR="000052D9">
        <w:t xml:space="preserve"> new titles</w:t>
      </w:r>
      <w:r w:rsidR="00D06DD5">
        <w:t xml:space="preserve"> to calculate the longevity of “normal literature</w:t>
      </w:r>
      <w:r w:rsidR="0024423C">
        <w:t>.</w:t>
      </w:r>
      <w:r w:rsidR="00D06DD5">
        <w:t>”</w:t>
      </w:r>
      <w:r w:rsidR="0024423C">
        <w:t xml:space="preserve"> </w:t>
      </w:r>
      <w:r w:rsidR="00D93885">
        <w:t xml:space="preserve">Interested in the “artistic </w:t>
      </w:r>
      <w:r w:rsidR="0031126B">
        <w:t>usefulness” of literary forms</w:t>
      </w:r>
      <w:r w:rsidR="00731DA9">
        <w:t xml:space="preserve"> and “bursts of creativity” (understood narrowly as </w:t>
      </w:r>
      <w:r w:rsidR="00731DA9" w:rsidRPr="0087011D">
        <w:rPr>
          <w:i/>
        </w:rPr>
        <w:t>writers</w:t>
      </w:r>
      <w:r w:rsidR="00731DA9">
        <w:t>’ creativity),</w:t>
      </w:r>
      <w:r w:rsidR="0031126B">
        <w:t xml:space="preserve"> he</w:t>
      </w:r>
      <w:r w:rsidR="00FE7C7D">
        <w:t xml:space="preserve"> does not take into account</w:t>
      </w:r>
      <w:r w:rsidR="00D93885">
        <w:t xml:space="preserve"> </w:t>
      </w:r>
      <w:r w:rsidR="00D06DD5">
        <w:t xml:space="preserve">here </w:t>
      </w:r>
      <w:r w:rsidR="00D93885">
        <w:t>th</w:t>
      </w:r>
      <w:r w:rsidR="00C82AE2">
        <w:t>e endurance of literary forms in</w:t>
      </w:r>
      <w:r w:rsidR="00D93885">
        <w:t xml:space="preserve"> </w:t>
      </w:r>
      <w:r w:rsidR="00D1251C">
        <w:t>alternate forms of creativity--</w:t>
      </w:r>
      <w:r w:rsidR="00731DA9">
        <w:t xml:space="preserve">translation, </w:t>
      </w:r>
      <w:r w:rsidR="0024423C">
        <w:t xml:space="preserve">reprinting, republishing, </w:t>
      </w:r>
      <w:r w:rsidR="00FF27CA">
        <w:t>re</w:t>
      </w:r>
      <w:r w:rsidR="00D1251C">
        <w:t xml:space="preserve">packaging—or in </w:t>
      </w:r>
      <w:r w:rsidR="0024423C">
        <w:t>reading</w:t>
      </w:r>
      <w:r w:rsidR="00FF27CA">
        <w:t xml:space="preserve"> by new</w:t>
      </w:r>
      <w:r w:rsidR="00D1251C">
        <w:t xml:space="preserve"> audiences</w:t>
      </w:r>
      <w:r w:rsidR="00C82AE2">
        <w:t xml:space="preserve">. </w:t>
      </w:r>
      <w:r w:rsidR="00B5539F">
        <w:t>Although he has elsewhere importantly devoted considerable attention to migrations of literature from one country to another, in th</w:t>
      </w:r>
      <w:r w:rsidR="00D06DD5">
        <w:t>is particular calculation he does not consider</w:t>
      </w:r>
      <w:r w:rsidR="00B5539F">
        <w:t xml:space="preserve"> the possibility</w:t>
      </w:r>
      <w:r w:rsidR="00DB58AB">
        <w:t xml:space="preserve"> that novels for adults</w:t>
      </w:r>
      <w:r w:rsidR="00776B1C">
        <w:t xml:space="preserve"> may enjoy an</w:t>
      </w:r>
      <w:r w:rsidR="001F3E98">
        <w:t xml:space="preserve"> afterlife as adolescent reading</w:t>
      </w:r>
      <w:r w:rsidR="00C311F1">
        <w:t>, that reading originally read by bot</w:t>
      </w:r>
      <w:r w:rsidR="00D06DD5">
        <w:t>h men and women might become largel</w:t>
      </w:r>
      <w:r w:rsidR="00C311F1">
        <w:t>y women’s reading</w:t>
      </w:r>
      <w:r w:rsidR="00DB58AB">
        <w:t>,</w:t>
      </w:r>
      <w:r w:rsidR="00C311F1">
        <w:t xml:space="preserve"> and that novels originating in one culture and language may circulate </w:t>
      </w:r>
      <w:r w:rsidR="009B705C">
        <w:t xml:space="preserve">revitalized </w:t>
      </w:r>
      <w:r w:rsidR="00C311F1">
        <w:t>in a new context</w:t>
      </w:r>
      <w:r w:rsidR="00A64073">
        <w:t>.</w:t>
      </w:r>
      <w:r w:rsidR="00B5539F">
        <w:rPr>
          <w:rStyle w:val="EndnoteReference"/>
        </w:rPr>
        <w:endnoteReference w:id="32"/>
      </w:r>
    </w:p>
    <w:p w:rsidR="00FF1011" w:rsidRDefault="000D6F88" w:rsidP="00BC55F4">
      <w:pPr>
        <w:spacing w:line="480" w:lineRule="auto"/>
        <w:ind w:right="-360" w:firstLine="720"/>
      </w:pPr>
      <w:r>
        <w:t xml:space="preserve">The data we have reviewed for </w:t>
      </w:r>
      <w:r>
        <w:rPr>
          <w:i/>
        </w:rPr>
        <w:t xml:space="preserve">The Old </w:t>
      </w:r>
      <w:proofErr w:type="spellStart"/>
      <w:r>
        <w:rPr>
          <w:i/>
        </w:rPr>
        <w:t>Mam’selle’s</w:t>
      </w:r>
      <w:proofErr w:type="spellEnd"/>
      <w:r>
        <w:rPr>
          <w:i/>
        </w:rPr>
        <w:t xml:space="preserve"> S</w:t>
      </w:r>
      <w:r w:rsidRPr="000C1F8F">
        <w:rPr>
          <w:i/>
        </w:rPr>
        <w:t>ecret</w:t>
      </w:r>
      <w:r w:rsidR="00B5539F">
        <w:t xml:space="preserve"> indicate that it is</w:t>
      </w:r>
      <w:r>
        <w:t xml:space="preserve"> enlightening to look at other </w:t>
      </w:r>
      <w:r w:rsidR="00064614">
        <w:t xml:space="preserve">and various </w:t>
      </w:r>
      <w:r>
        <w:t>kinds of records to write a broader, transnational account of literature and literary forms since such records testify to somewhat different patterns and certainly to a much extended life span of literary works and genres</w:t>
      </w:r>
      <w:r w:rsidR="007239C8">
        <w:t>,</w:t>
      </w:r>
      <w:r w:rsidR="00C311F1">
        <w:t xml:space="preserve"> one that sometimes doubles</w:t>
      </w:r>
      <w:r w:rsidR="00FF1011">
        <w:t xml:space="preserve"> </w:t>
      </w:r>
      <w:proofErr w:type="spellStart"/>
      <w:r w:rsidR="00FF1011">
        <w:t>Moretti’s</w:t>
      </w:r>
      <w:proofErr w:type="spellEnd"/>
      <w:r w:rsidR="00FF1011">
        <w:t xml:space="preserve"> estimate for “normal literature”</w:t>
      </w:r>
      <w:r w:rsidR="0031126B">
        <w:t xml:space="preserve">: </w:t>
      </w:r>
      <w:r w:rsidR="00BC55F4">
        <w:t>that is, as a result of the activity of the entire “literary system”—</w:t>
      </w:r>
      <w:r w:rsidR="00BC55F4">
        <w:rPr>
          <w:spacing w:val="-3"/>
        </w:rPr>
        <w:t xml:space="preserve">to use André </w:t>
      </w:r>
      <w:proofErr w:type="spellStart"/>
      <w:r w:rsidR="00BC55F4">
        <w:rPr>
          <w:spacing w:val="-3"/>
        </w:rPr>
        <w:t>Lefevere’s</w:t>
      </w:r>
      <w:proofErr w:type="spellEnd"/>
      <w:r w:rsidR="00BC55F4">
        <w:rPr>
          <w:spacing w:val="-3"/>
        </w:rPr>
        <w:t xml:space="preserve"> term for the broader cultural context—</w:t>
      </w:r>
      <w:r w:rsidR="00BC55F4">
        <w:rPr>
          <w:rStyle w:val="EndnoteReference"/>
        </w:rPr>
        <w:endnoteReference w:id="33"/>
      </w:r>
      <w:r w:rsidR="00BC55F4">
        <w:t xml:space="preserve"> </w:t>
      </w:r>
      <w:r w:rsidR="0031126B">
        <w:t xml:space="preserve">books may be </w:t>
      </w:r>
      <w:r w:rsidR="00FF1011">
        <w:t xml:space="preserve">re-published and </w:t>
      </w:r>
      <w:r w:rsidR="0031126B">
        <w:t>avidly</w:t>
      </w:r>
      <w:r w:rsidR="00BC55F4">
        <w:t xml:space="preserve"> and widely</w:t>
      </w:r>
      <w:r w:rsidR="0031126B">
        <w:t xml:space="preserve"> read </w:t>
      </w:r>
      <w:r w:rsidR="00CB46E3">
        <w:t xml:space="preserve">as “normal literature” </w:t>
      </w:r>
      <w:r w:rsidR="0031126B">
        <w:t>long after their original publication</w:t>
      </w:r>
      <w:r w:rsidR="00A25441">
        <w:t>, consumed</w:t>
      </w:r>
      <w:r w:rsidR="00FF1011">
        <w:t xml:space="preserve"> i</w:t>
      </w:r>
      <w:r w:rsidR="0087011D">
        <w:t>n different contexts and by new</w:t>
      </w:r>
      <w:r w:rsidR="007239C8">
        <w:t xml:space="preserve"> audiences</w:t>
      </w:r>
      <w:r w:rsidR="0031126B">
        <w:t>. Indeed, i</w:t>
      </w:r>
      <w:r w:rsidR="00C82AE2">
        <w:t>n</w:t>
      </w:r>
      <w:r w:rsidR="00DB58AB">
        <w:t xml:space="preserve"> D. H. Howell’s</w:t>
      </w:r>
      <w:r w:rsidR="00C82AE2">
        <w:t xml:space="preserve"> </w:t>
      </w:r>
      <w:r w:rsidR="004702EC">
        <w:rPr>
          <w:i/>
        </w:rPr>
        <w:t>The Rise of S</w:t>
      </w:r>
      <w:r w:rsidR="00C82AE2" w:rsidRPr="00C82AE2">
        <w:rPr>
          <w:i/>
        </w:rPr>
        <w:t xml:space="preserve">ilas </w:t>
      </w:r>
      <w:proofErr w:type="spellStart"/>
      <w:r w:rsidR="00C82AE2" w:rsidRPr="00C82AE2">
        <w:rPr>
          <w:i/>
        </w:rPr>
        <w:t>Lapham</w:t>
      </w:r>
      <w:proofErr w:type="spellEnd"/>
      <w:r w:rsidR="00D7397E">
        <w:t>,</w:t>
      </w:r>
      <w:r w:rsidR="00731DA9">
        <w:t xml:space="preserve"> a </w:t>
      </w:r>
      <w:r w:rsidR="0031126B">
        <w:t>naive</w:t>
      </w:r>
      <w:r w:rsidR="00731DA9">
        <w:t xml:space="preserve"> young woman</w:t>
      </w:r>
      <w:r w:rsidR="00C82AE2">
        <w:t xml:space="preserve"> r</w:t>
      </w:r>
      <w:r w:rsidR="00B64142">
        <w:t>eads a Munro Seaside edition of</w:t>
      </w:r>
      <w:r w:rsidR="00A25441">
        <w:t xml:space="preserve"> </w:t>
      </w:r>
      <w:r w:rsidR="00C82AE2">
        <w:rPr>
          <w:i/>
        </w:rPr>
        <w:t>Middlemarch</w:t>
      </w:r>
      <w:r w:rsidR="00C82AE2">
        <w:t>,</w:t>
      </w:r>
      <w:r w:rsidR="00B34A33">
        <w:t xml:space="preserve"> which had been published a decade earlier</w:t>
      </w:r>
      <w:r>
        <w:t>,</w:t>
      </w:r>
      <w:r w:rsidR="00C82AE2">
        <w:t xml:space="preserve"> believing that</w:t>
      </w:r>
      <w:r w:rsidR="0031126B">
        <w:t xml:space="preserve"> it is</w:t>
      </w:r>
      <w:r w:rsidR="004702EC">
        <w:t xml:space="preserve"> a brand new novel</w:t>
      </w:r>
      <w:r w:rsidR="00731DA9">
        <w:t xml:space="preserve">. </w:t>
      </w:r>
      <w:r w:rsidR="008D71B7">
        <w:t xml:space="preserve">In other words, industrial and market conditions </w:t>
      </w:r>
      <w:r w:rsidR="00343F7D">
        <w:t xml:space="preserve">profoundly </w:t>
      </w:r>
      <w:r w:rsidR="008D71B7">
        <w:t>determine (and may extend) the life of literary genres.</w:t>
      </w:r>
      <w:r w:rsidR="007660E1">
        <w:rPr>
          <w:rStyle w:val="EndnoteReference"/>
        </w:rPr>
        <w:endnoteReference w:id="34"/>
      </w:r>
      <w:r w:rsidR="008D71B7">
        <w:t xml:space="preserve"> </w:t>
      </w:r>
    </w:p>
    <w:p w:rsidR="008D71B7" w:rsidRDefault="009C42DC" w:rsidP="00FF1011">
      <w:pPr>
        <w:spacing w:line="480" w:lineRule="auto"/>
        <w:ind w:right="-360" w:firstLine="720"/>
      </w:pPr>
      <w:r>
        <w:t>In the matter of the</w:t>
      </w:r>
      <w:r w:rsidR="0087011D">
        <w:t xml:space="preserve"> </w:t>
      </w:r>
      <w:r w:rsidR="00A64073">
        <w:t xml:space="preserve">continued </w:t>
      </w:r>
      <w:r w:rsidR="00731DA9">
        <w:t>reading of old</w:t>
      </w:r>
      <w:r w:rsidR="00590E87">
        <w:t>er</w:t>
      </w:r>
      <w:r w:rsidR="00731DA9">
        <w:t xml:space="preserve"> texts,</w:t>
      </w:r>
      <w:r w:rsidR="00C82AE2">
        <w:t xml:space="preserve"> </w:t>
      </w:r>
      <w:r w:rsidR="00590E87">
        <w:t xml:space="preserve">the work of William St Clair </w:t>
      </w:r>
      <w:r w:rsidR="00FD71F9">
        <w:t>proves illuminating</w:t>
      </w:r>
      <w:r w:rsidR="00C82AE2">
        <w:t>.</w:t>
      </w:r>
      <w:r w:rsidR="00FF1011">
        <w:rPr>
          <w:spacing w:val="-3"/>
        </w:rPr>
        <w:t xml:space="preserve"> </w:t>
      </w:r>
      <w:r w:rsidR="00C11FA8">
        <w:rPr>
          <w:spacing w:val="-3"/>
        </w:rPr>
        <w:t>As St</w:t>
      </w:r>
      <w:r w:rsidR="00B34A33">
        <w:rPr>
          <w:spacing w:val="-3"/>
        </w:rPr>
        <w:t xml:space="preserve"> Clair maintains, </w:t>
      </w:r>
      <w:r w:rsidR="00B34A33">
        <w:t>p</w:t>
      </w:r>
      <w:r w:rsidR="00C55E89">
        <w:t>atterns of reading depend on the availability</w:t>
      </w:r>
      <w:r w:rsidR="00B34A33">
        <w:t xml:space="preserve"> and the affordability of books</w:t>
      </w:r>
      <w:r w:rsidR="002648FA">
        <w:t>.</w:t>
      </w:r>
      <w:r w:rsidR="0031126B">
        <w:t xml:space="preserve"> </w:t>
      </w:r>
      <w:r w:rsidR="00107935">
        <w:t xml:space="preserve">Moreover, </w:t>
      </w:r>
      <w:r w:rsidR="00976911">
        <w:t>he</w:t>
      </w:r>
      <w:r w:rsidR="00C55E89">
        <w:t xml:space="preserve"> asserts</w:t>
      </w:r>
      <w:r w:rsidR="00107935">
        <w:t>,</w:t>
      </w:r>
      <w:r w:rsidR="00C55E89">
        <w:t xml:space="preserve"> “although new texts were being written, circulated, and read during all periods of the past, most of the reading that has historically occurred has been of older texts that were accorded value after they were first written and that continued to be copied for new readers by whatever technology was available</w:t>
      </w:r>
      <w:r w:rsidR="00B34A33">
        <w:t xml:space="preserve">.” </w:t>
      </w:r>
      <w:r w:rsidR="00A64073">
        <w:t>T</w:t>
      </w:r>
      <w:r w:rsidR="00590E87">
        <w:t>he culture of reprintin</w:t>
      </w:r>
      <w:r w:rsidR="00A64073">
        <w:t>g in nineteenth-century America makes St. Clair’s observation</w:t>
      </w:r>
      <w:r w:rsidR="00590E87">
        <w:t xml:space="preserve"> particularly applicable.  Let us return</w:t>
      </w:r>
      <w:r>
        <w:t xml:space="preserve"> </w:t>
      </w:r>
      <w:r w:rsidR="00590E87">
        <w:t xml:space="preserve">then </w:t>
      </w:r>
      <w:r w:rsidR="00870F14">
        <w:t>to the 1876 list of the 204</w:t>
      </w:r>
      <w:r w:rsidR="00107935">
        <w:t xml:space="preserve"> most salable books to look at the</w:t>
      </w:r>
      <w:r w:rsidR="002D1D09">
        <w:t xml:space="preserve"> age of these republished texts.</w:t>
      </w:r>
    </w:p>
    <w:p w:rsidR="00FF1011" w:rsidRDefault="0031126B" w:rsidP="00FF1011">
      <w:pPr>
        <w:spacing w:line="480" w:lineRule="auto"/>
        <w:ind w:right="-360" w:firstLine="720"/>
      </w:pPr>
      <w:r>
        <w:t>T</w:t>
      </w:r>
      <w:r w:rsidR="00D5422C">
        <w:t>he</w:t>
      </w:r>
      <w:r w:rsidR="00FD71F9">
        <w:t xml:space="preserve"> 1876 list</w:t>
      </w:r>
      <w:r w:rsidR="00FF1011">
        <w:t xml:space="preserve">, which tallies </w:t>
      </w:r>
      <w:r w:rsidR="00DE7C69">
        <w:t xml:space="preserve">the best guesses of thirty-nine </w:t>
      </w:r>
      <w:r w:rsidR="00E04EE8">
        <w:t xml:space="preserve">American </w:t>
      </w:r>
      <w:r w:rsidR="00000CC6">
        <w:t>publishers</w:t>
      </w:r>
      <w:r w:rsidR="00A64073">
        <w:t>,</w:t>
      </w:r>
      <w:r w:rsidR="00000CC6">
        <w:t xml:space="preserve"> </w:t>
      </w:r>
      <w:r w:rsidR="00731DA9">
        <w:t>reveals a more mixed literary field</w:t>
      </w:r>
      <w:r w:rsidR="00BC55F4">
        <w:t xml:space="preserve"> than </w:t>
      </w:r>
      <w:r w:rsidR="00FF1011">
        <w:t xml:space="preserve">the one </w:t>
      </w:r>
      <w:r w:rsidR="00BC55F4">
        <w:t>St Clair imagines</w:t>
      </w:r>
      <w:r w:rsidR="00D7397E">
        <w:t>, one including both new and old novels</w:t>
      </w:r>
      <w:r w:rsidR="00DE7C69">
        <w:t>. Still</w:t>
      </w:r>
      <w:r w:rsidR="00A25441">
        <w:t xml:space="preserve">, it </w:t>
      </w:r>
      <w:r w:rsidR="00801D41">
        <w:t>confirms his</w:t>
      </w:r>
      <w:r w:rsidR="00343F7D">
        <w:t xml:space="preserve"> observation</w:t>
      </w:r>
      <w:r w:rsidR="00DE7C69">
        <w:t xml:space="preserve"> that the publishing industry accords old books </w:t>
      </w:r>
      <w:r w:rsidR="00343F7D">
        <w:t>new valu</w:t>
      </w:r>
      <w:r w:rsidR="00DE7C69">
        <w:t>e</w:t>
      </w:r>
      <w:r w:rsidR="00B628A2">
        <w:t xml:space="preserve">.  </w:t>
      </w:r>
      <w:commentRangeStart w:id="16"/>
      <w:r w:rsidR="00B628A2">
        <w:t>Sixteen</w:t>
      </w:r>
      <w:commentRangeEnd w:id="16"/>
      <w:r w:rsidR="004B34A2">
        <w:rPr>
          <w:rStyle w:val="CommentReference"/>
          <w:vanish/>
        </w:rPr>
        <w:commentReference w:id="16"/>
      </w:r>
      <w:r w:rsidR="00B628A2">
        <w:t xml:space="preserve"> </w:t>
      </w:r>
      <w:r w:rsidR="00731DA9">
        <w:t>of the top fifty-eight</w:t>
      </w:r>
      <w:r w:rsidR="00D7397E">
        <w:t xml:space="preserve"> novels</w:t>
      </w:r>
      <w:r w:rsidR="00D5422C">
        <w:t xml:space="preserve"> (28%)</w:t>
      </w:r>
      <w:r w:rsidR="00731DA9">
        <w:t>—</w:t>
      </w:r>
      <w:r w:rsidR="00D7397E">
        <w:t>novels</w:t>
      </w:r>
      <w:r w:rsidR="00E04EE8">
        <w:t xml:space="preserve"> with eleven</w:t>
      </w:r>
      <w:r w:rsidR="00731DA9">
        <w:t xml:space="preserve"> votes or more--are older than twenty</w:t>
      </w:r>
      <w:r w:rsidR="00B628A2">
        <w:t xml:space="preserve"> years; </w:t>
      </w:r>
      <w:proofErr w:type="gramStart"/>
      <w:r w:rsidR="00B628A2">
        <w:t>twenty-six</w:t>
      </w:r>
      <w:proofErr w:type="gramEnd"/>
      <w:r w:rsidR="00D5422C">
        <w:t xml:space="preserve"> (45%) </w:t>
      </w:r>
      <w:r w:rsidR="00B628A2">
        <w:t xml:space="preserve">are </w:t>
      </w:r>
      <w:r w:rsidR="00D5422C">
        <w:t>older than ten years.</w:t>
      </w:r>
      <w:r w:rsidR="00B3616B">
        <w:t xml:space="preserve"> With 45%</w:t>
      </w:r>
      <w:r w:rsidR="007239C8">
        <w:t xml:space="preserve"> of t</w:t>
      </w:r>
      <w:r w:rsidR="008D71B7">
        <w:t xml:space="preserve">he </w:t>
      </w:r>
      <w:r w:rsidR="00C11FA8">
        <w:t>top fifty-eight</w:t>
      </w:r>
      <w:r w:rsidR="00B3616B">
        <w:t xml:space="preserve"> </w:t>
      </w:r>
      <w:r w:rsidR="008D71B7">
        <w:t xml:space="preserve">most salable books comprising </w:t>
      </w:r>
      <w:r w:rsidR="00D7397E">
        <w:t xml:space="preserve">publications of </w:t>
      </w:r>
      <w:r w:rsidR="008D71B7">
        <w:t xml:space="preserve">no-longer </w:t>
      </w:r>
      <w:r w:rsidR="007239C8">
        <w:t>new</w:t>
      </w:r>
      <w:r w:rsidR="00D7397E">
        <w:t xml:space="preserve"> novels, the list testifies to a v</w:t>
      </w:r>
      <w:r w:rsidR="00A25441">
        <w:t>igorous afterlife for older novel</w:t>
      </w:r>
      <w:r w:rsidR="00E04EE8">
        <w:t>s withi</w:t>
      </w:r>
      <w:r w:rsidR="007239C8">
        <w:t xml:space="preserve">n </w:t>
      </w:r>
      <w:r w:rsidR="00A25441">
        <w:t xml:space="preserve">1870s </w:t>
      </w:r>
      <w:r w:rsidR="007239C8">
        <w:t>North America</w:t>
      </w:r>
      <w:r w:rsidR="00E04EE8">
        <w:t>n print culture</w:t>
      </w:r>
      <w:r w:rsidR="007239C8">
        <w:t>.</w:t>
      </w:r>
      <w:r>
        <w:t xml:space="preserve"> </w:t>
      </w:r>
    </w:p>
    <w:p w:rsidR="00B628A2" w:rsidRPr="00FF1011" w:rsidRDefault="00731DA9" w:rsidP="00FF1011">
      <w:pPr>
        <w:spacing w:line="480" w:lineRule="auto"/>
        <w:ind w:right="-360" w:firstLine="720"/>
        <w:rPr>
          <w:spacing w:val="-3"/>
        </w:rPr>
      </w:pPr>
      <w:r>
        <w:t>T</w:t>
      </w:r>
      <w:r w:rsidR="00B628A2">
        <w:t>h</w:t>
      </w:r>
      <w:r w:rsidR="000052D9">
        <w:t>e proliferat</w:t>
      </w:r>
      <w:r w:rsidR="008026AF">
        <w:t>i</w:t>
      </w:r>
      <w:r w:rsidR="000052D9">
        <w:t>on of editions</w:t>
      </w:r>
      <w:r w:rsidR="00BC55F4">
        <w:t xml:space="preserve"> and issues of </w:t>
      </w:r>
      <w:r w:rsidR="00C11FA8">
        <w:rPr>
          <w:i/>
        </w:rPr>
        <w:t xml:space="preserve">The Old </w:t>
      </w:r>
      <w:proofErr w:type="spellStart"/>
      <w:r w:rsidR="00C11FA8">
        <w:rPr>
          <w:i/>
        </w:rPr>
        <w:t>Mam’selle’s</w:t>
      </w:r>
      <w:proofErr w:type="spellEnd"/>
      <w:r w:rsidR="00C11FA8">
        <w:rPr>
          <w:i/>
        </w:rPr>
        <w:t xml:space="preserve"> S</w:t>
      </w:r>
      <w:r w:rsidR="00BC55F4">
        <w:rPr>
          <w:i/>
        </w:rPr>
        <w:t>ecret</w:t>
      </w:r>
      <w:r w:rsidR="000052D9">
        <w:t xml:space="preserve"> </w:t>
      </w:r>
      <w:r w:rsidR="00DE7C69">
        <w:t>over several</w:t>
      </w:r>
      <w:r w:rsidR="00441FCA">
        <w:t xml:space="preserve"> decades </w:t>
      </w:r>
      <w:r w:rsidR="000052D9">
        <w:t xml:space="preserve">coupled with the Muncie </w:t>
      </w:r>
      <w:r w:rsidR="00B628A2">
        <w:t>borrowing records</w:t>
      </w:r>
      <w:r w:rsidR="008D71B7">
        <w:t xml:space="preserve"> more emphatically</w:t>
      </w:r>
      <w:r>
        <w:t xml:space="preserve"> </w:t>
      </w:r>
      <w:r w:rsidR="00C55E89">
        <w:t xml:space="preserve">confirms </w:t>
      </w:r>
      <w:r w:rsidR="00651965">
        <w:t>St Clair</w:t>
      </w:r>
      <w:r w:rsidR="00C55E89">
        <w:t>’s observation</w:t>
      </w:r>
      <w:r w:rsidR="00651965">
        <w:t>.</w:t>
      </w:r>
      <w:r w:rsidR="00D5422C">
        <w:t xml:space="preserve"> </w:t>
      </w:r>
      <w:r w:rsidR="00C11FA8">
        <w:rPr>
          <w:i/>
        </w:rPr>
        <w:t xml:space="preserve">The Old </w:t>
      </w:r>
      <w:proofErr w:type="spellStart"/>
      <w:r w:rsidR="00C11FA8">
        <w:rPr>
          <w:i/>
        </w:rPr>
        <w:t>Mam’selle’s</w:t>
      </w:r>
      <w:proofErr w:type="spellEnd"/>
      <w:r w:rsidR="00C11FA8">
        <w:rPr>
          <w:i/>
        </w:rPr>
        <w:t xml:space="preserve"> S</w:t>
      </w:r>
      <w:r w:rsidR="00E04EE8" w:rsidRPr="00E04EE8">
        <w:rPr>
          <w:i/>
        </w:rPr>
        <w:t>ecret</w:t>
      </w:r>
      <w:r w:rsidR="00E04EE8" w:rsidRPr="00E04EE8">
        <w:t>,</w:t>
      </w:r>
      <w:r w:rsidR="00E04EE8" w:rsidRPr="00E04EE8">
        <w:rPr>
          <w:i/>
        </w:rPr>
        <w:t xml:space="preserve"> The Second Wife</w:t>
      </w:r>
      <w:r w:rsidR="00E04EE8" w:rsidRPr="00E04EE8">
        <w:t>,</w:t>
      </w:r>
      <w:r w:rsidR="00E04EE8" w:rsidRPr="00E04EE8">
        <w:rPr>
          <w:i/>
        </w:rPr>
        <w:t xml:space="preserve"> </w:t>
      </w:r>
      <w:r w:rsidR="00E04EE8" w:rsidRPr="00E04EE8">
        <w:t xml:space="preserve">and </w:t>
      </w:r>
      <w:r w:rsidR="00E04EE8" w:rsidRPr="00E04EE8">
        <w:rPr>
          <w:i/>
        </w:rPr>
        <w:t>Gold Elsie</w:t>
      </w:r>
      <w:r w:rsidR="00E04EE8">
        <w:t>, t</w:t>
      </w:r>
      <w:r w:rsidR="00D5422C">
        <w:t>he th</w:t>
      </w:r>
      <w:r w:rsidR="00DB58AB">
        <w:t xml:space="preserve">ree </w:t>
      </w:r>
      <w:proofErr w:type="spellStart"/>
      <w:r w:rsidR="00DB58AB">
        <w:t>Marlitt</w:t>
      </w:r>
      <w:proofErr w:type="spellEnd"/>
      <w:r w:rsidR="00DB58AB">
        <w:t xml:space="preserve"> novels in the top fifty-eight</w:t>
      </w:r>
      <w:r w:rsidR="00D5422C">
        <w:t xml:space="preserve"> </w:t>
      </w:r>
      <w:r>
        <w:t xml:space="preserve">most salable novels </w:t>
      </w:r>
      <w:r w:rsidR="002648FA">
        <w:t>in 1876</w:t>
      </w:r>
      <w:r w:rsidR="009B705C">
        <w:t xml:space="preserve"> </w:t>
      </w:r>
      <w:r w:rsidR="00FF1011">
        <w:t>had at that time</w:t>
      </w:r>
      <w:r w:rsidR="00A25441">
        <w:t xml:space="preserve"> </w:t>
      </w:r>
      <w:r w:rsidR="00870F14">
        <w:t xml:space="preserve">all </w:t>
      </w:r>
      <w:r w:rsidR="00A25441">
        <w:t>been</w:t>
      </w:r>
      <w:r w:rsidR="00B628A2">
        <w:t xml:space="preserve"> on the American market under ten years; by 1902, when the Muncie records end, they had circulated for three decades</w:t>
      </w:r>
      <w:r w:rsidR="00BC55F4">
        <w:t xml:space="preserve"> and were still being regularly </w:t>
      </w:r>
      <w:r>
        <w:t>read</w:t>
      </w:r>
      <w:r w:rsidR="00B3616B">
        <w:t xml:space="preserve">. In Muncie </w:t>
      </w:r>
      <w:r w:rsidR="006052B6">
        <w:t>they log</w:t>
      </w:r>
      <w:r w:rsidR="00EB62CA">
        <w:t>ged</w:t>
      </w:r>
      <w:r w:rsidR="00E04EE8">
        <w:t xml:space="preserve"> 212, 265, and 210 tran</w:t>
      </w:r>
      <w:r w:rsidR="006052B6">
        <w:t>s</w:t>
      </w:r>
      <w:r w:rsidR="008427C8">
        <w:t>actions respectively</w:t>
      </w:r>
      <w:r w:rsidR="00D5422C" w:rsidRPr="006371AD">
        <w:rPr>
          <w:i/>
        </w:rPr>
        <w:t>.</w:t>
      </w:r>
      <w:r w:rsidR="00BC55F4" w:rsidRPr="006371AD">
        <w:rPr>
          <w:i/>
        </w:rPr>
        <w:t xml:space="preserve"> </w:t>
      </w:r>
      <w:r w:rsidR="006371AD" w:rsidRPr="006371AD">
        <w:rPr>
          <w:i/>
        </w:rPr>
        <w:t xml:space="preserve">The Old </w:t>
      </w:r>
      <w:proofErr w:type="spellStart"/>
      <w:r w:rsidR="006371AD" w:rsidRPr="006371AD">
        <w:rPr>
          <w:i/>
        </w:rPr>
        <w:t>Mam’selle’s</w:t>
      </w:r>
      <w:proofErr w:type="spellEnd"/>
      <w:r w:rsidR="006371AD">
        <w:t xml:space="preserve"> S</w:t>
      </w:r>
      <w:r w:rsidR="00094E21" w:rsidRPr="00C70CAD">
        <w:rPr>
          <w:i/>
        </w:rPr>
        <w:t>ecret</w:t>
      </w:r>
      <w:r w:rsidR="006052B6" w:rsidRPr="00C70CAD">
        <w:t xml:space="preserve">, </w:t>
      </w:r>
      <w:r w:rsidR="007239C8" w:rsidRPr="00C70CAD">
        <w:t>a thirty-</w:t>
      </w:r>
      <w:r w:rsidR="002712A2" w:rsidRPr="00C70CAD">
        <w:t>five-</w:t>
      </w:r>
      <w:r w:rsidR="007239C8" w:rsidRPr="00C70CAD">
        <w:t>year-</w:t>
      </w:r>
      <w:commentRangeStart w:id="17"/>
      <w:r w:rsidR="007239C8" w:rsidRPr="00C70CAD">
        <w:t>old</w:t>
      </w:r>
      <w:commentRangeEnd w:id="17"/>
      <w:r w:rsidR="006371AD">
        <w:rPr>
          <w:rStyle w:val="CommentReference"/>
          <w:vanish/>
        </w:rPr>
        <w:commentReference w:id="17"/>
      </w:r>
      <w:r w:rsidR="007239C8" w:rsidRPr="00C70CAD">
        <w:t xml:space="preserve"> G</w:t>
      </w:r>
      <w:r w:rsidR="00441FCA" w:rsidRPr="00C70CAD">
        <w:t xml:space="preserve">erman story </w:t>
      </w:r>
      <w:r w:rsidR="00052823" w:rsidRPr="00C70CAD">
        <w:t xml:space="preserve">with </w:t>
      </w:r>
      <w:r w:rsidR="00870F14" w:rsidRPr="00C70CAD">
        <w:t>affinities to a fifty-five year-</w:t>
      </w:r>
      <w:r w:rsidR="00052823" w:rsidRPr="00C70CAD">
        <w:t>old novel</w:t>
      </w:r>
      <w:r w:rsidR="00B3616B">
        <w:t>,</w:t>
      </w:r>
      <w:r w:rsidR="00052823" w:rsidRPr="00C70CAD">
        <w:t xml:space="preserve"> </w:t>
      </w:r>
      <w:r w:rsidR="008427C8">
        <w:t xml:space="preserve">continued to find an audience, </w:t>
      </w:r>
      <w:r w:rsidR="0096611C" w:rsidRPr="00C70CAD">
        <w:t>above all</w:t>
      </w:r>
      <w:r w:rsidR="008427C8">
        <w:t>,</w:t>
      </w:r>
      <w:r w:rsidR="0096611C" w:rsidRPr="00C70CAD">
        <w:t xml:space="preserve"> </w:t>
      </w:r>
      <w:r w:rsidR="008427C8">
        <w:t xml:space="preserve">among </w:t>
      </w:r>
      <w:r w:rsidR="00B63535">
        <w:t>younger female readers</w:t>
      </w:r>
      <w:r w:rsidR="007239C8" w:rsidRPr="00C70CAD">
        <w:t>.</w:t>
      </w:r>
    </w:p>
    <w:p w:rsidR="001F3E98" w:rsidRDefault="005F540E" w:rsidP="002B31BA">
      <w:pPr>
        <w:spacing w:line="480" w:lineRule="auto"/>
        <w:ind w:firstLine="720"/>
      </w:pPr>
      <w:r w:rsidRPr="00E27003">
        <w:t xml:space="preserve">In </w:t>
      </w:r>
      <w:r w:rsidRPr="000A168C">
        <w:t>the end, t</w:t>
      </w:r>
      <w:r w:rsidR="00F07732" w:rsidRPr="000A168C">
        <w:t>he</w:t>
      </w:r>
      <w:r w:rsidR="003E5510" w:rsidRPr="000A168C">
        <w:t xml:space="preserve"> Muncie</w:t>
      </w:r>
      <w:r w:rsidR="00704983" w:rsidRPr="000A168C">
        <w:t xml:space="preserve"> records</w:t>
      </w:r>
      <w:r w:rsidR="00F07732" w:rsidRPr="000A168C">
        <w:t xml:space="preserve"> both corroborate and dispute </w:t>
      </w:r>
      <w:proofErr w:type="spellStart"/>
      <w:r w:rsidR="00F07732" w:rsidRPr="000A168C">
        <w:t>Morett</w:t>
      </w:r>
      <w:r w:rsidRPr="000A168C">
        <w:t>i</w:t>
      </w:r>
      <w:r w:rsidR="00F07732" w:rsidRPr="000A168C">
        <w:t>’s</w:t>
      </w:r>
      <w:proofErr w:type="spellEnd"/>
      <w:r w:rsidR="00F07732" w:rsidRPr="000A168C">
        <w:t xml:space="preserve"> sense of the life</w:t>
      </w:r>
      <w:r w:rsidR="00E0338D" w:rsidRPr="000A168C">
        <w:t xml:space="preserve"> </w:t>
      </w:r>
      <w:r w:rsidR="00384474" w:rsidRPr="000A168C">
        <w:t xml:space="preserve">span </w:t>
      </w:r>
      <w:r w:rsidR="00E0338D" w:rsidRPr="000A168C">
        <w:t xml:space="preserve">of “normal literature.” </w:t>
      </w:r>
      <w:r w:rsidR="007755B3" w:rsidRPr="000A168C">
        <w:t xml:space="preserve">Alger, Fosdick, </w:t>
      </w:r>
      <w:r w:rsidR="00421F90" w:rsidRPr="000A168C">
        <w:t xml:space="preserve">and </w:t>
      </w:r>
      <w:r w:rsidR="00384474" w:rsidRPr="000A168C">
        <w:t>Marie Corelli,</w:t>
      </w:r>
      <w:r w:rsidR="007755B3" w:rsidRPr="000A168C">
        <w:t xml:space="preserve"> among others,</w:t>
      </w:r>
      <w:r w:rsidR="00BC55F4" w:rsidRPr="000A168C">
        <w:t xml:space="preserve"> </w:t>
      </w:r>
      <w:r w:rsidR="00343F7D" w:rsidRPr="000A168C">
        <w:t>had</w:t>
      </w:r>
      <w:r w:rsidR="009F4C2A" w:rsidRPr="000A168C">
        <w:t xml:space="preserve"> twenty years later</w:t>
      </w:r>
      <w:r w:rsidR="007755B3" w:rsidRPr="000A168C">
        <w:t xml:space="preserve"> </w:t>
      </w:r>
      <w:r w:rsidR="00F07732" w:rsidRPr="000A168C">
        <w:t>displace</w:t>
      </w:r>
      <w:r w:rsidR="00E0338D" w:rsidRPr="000A168C">
        <w:t xml:space="preserve">d </w:t>
      </w:r>
      <w:r w:rsidR="00BC55F4" w:rsidRPr="000A168C">
        <w:t>some</w:t>
      </w:r>
      <w:r w:rsidR="007755B3" w:rsidRPr="000A168C">
        <w:t xml:space="preserve"> of the</w:t>
      </w:r>
      <w:r w:rsidR="00BC55F4" w:rsidRPr="000A168C">
        <w:t xml:space="preserve"> authors from </w:t>
      </w:r>
      <w:r w:rsidR="00E0338D" w:rsidRPr="000A168C">
        <w:t>the 1876</w:t>
      </w:r>
      <w:r w:rsidR="00F07732" w:rsidRPr="000A168C">
        <w:t xml:space="preserve"> group</w:t>
      </w:r>
      <w:r w:rsidR="004B34A2">
        <w:t xml:space="preserve"> as indexed by the reading preferences </w:t>
      </w:r>
      <w:r w:rsidR="00E27003" w:rsidRPr="000A168C">
        <w:t>of the Muncie readers</w:t>
      </w:r>
      <w:r w:rsidR="00F07732" w:rsidRPr="000A168C">
        <w:t>.</w:t>
      </w:r>
      <w:r w:rsidR="005A3F81" w:rsidRPr="000A168C">
        <w:t xml:space="preserve"> </w:t>
      </w:r>
      <w:r w:rsidR="007755B3" w:rsidRPr="000A168C">
        <w:t>O</w:t>
      </w:r>
      <w:r w:rsidR="00F07732" w:rsidRPr="000A168C">
        <w:t xml:space="preserve">n </w:t>
      </w:r>
      <w:r w:rsidR="008D71B7" w:rsidRPr="000A168C">
        <w:t>the ot</w:t>
      </w:r>
      <w:r w:rsidR="00E30D63" w:rsidRPr="000A168C">
        <w:t>her</w:t>
      </w:r>
      <w:r w:rsidR="003B5403" w:rsidRPr="000A168C">
        <w:t xml:space="preserve"> hand, </w:t>
      </w:r>
      <w:proofErr w:type="gramStart"/>
      <w:r w:rsidR="003B5403" w:rsidRPr="000A168C">
        <w:t>only one of the top fifty</w:t>
      </w:r>
      <w:r w:rsidR="00E30D63" w:rsidRPr="000A168C">
        <w:t>-eight</w:t>
      </w:r>
      <w:r w:rsidR="008D71B7" w:rsidRPr="000A168C">
        <w:t xml:space="preserve"> authors from the 1876 list</w:t>
      </w:r>
      <w:r w:rsidR="00BC55F4" w:rsidRPr="000A168C">
        <w:t xml:space="preserve"> is not represented by any book</w:t>
      </w:r>
      <w:r w:rsidR="00375A95" w:rsidRPr="000A168C">
        <w:t xml:space="preserve"> at all</w:t>
      </w:r>
      <w:r w:rsidR="00795244" w:rsidRPr="000A168C">
        <w:t xml:space="preserve"> in the library’s</w:t>
      </w:r>
      <w:r w:rsidR="00795244" w:rsidRPr="00C70CAD">
        <w:t xml:space="preserve"> holdings</w:t>
      </w:r>
      <w:proofErr w:type="gramEnd"/>
      <w:r w:rsidR="000630F0" w:rsidRPr="00C70CAD">
        <w:t>. F</w:t>
      </w:r>
      <w:r w:rsidR="00F07732" w:rsidRPr="00C70CAD">
        <w:t>our of them</w:t>
      </w:r>
      <w:r w:rsidR="00795244" w:rsidRPr="00C70CAD">
        <w:t xml:space="preserve"> are</w:t>
      </w:r>
      <w:r w:rsidR="00704983" w:rsidRPr="00C70CAD">
        <w:t>, moreover,</w:t>
      </w:r>
      <w:r w:rsidR="00795244" w:rsidRPr="00C70CAD">
        <w:t xml:space="preserve"> among the top </w:t>
      </w:r>
      <w:r w:rsidR="00343F7D" w:rsidRPr="00C70CAD">
        <w:t xml:space="preserve">twenty </w:t>
      </w:r>
      <w:r w:rsidR="00795244" w:rsidRPr="00C70CAD">
        <w:t>circulating au</w:t>
      </w:r>
      <w:r w:rsidR="00422063" w:rsidRPr="00C70CAD">
        <w:t>tho</w:t>
      </w:r>
      <w:r w:rsidR="00F07732" w:rsidRPr="00C70CAD">
        <w:t>rs</w:t>
      </w:r>
      <w:r w:rsidR="00375A95" w:rsidRPr="00C70CAD">
        <w:t xml:space="preserve"> (Roe, Alcott, </w:t>
      </w:r>
      <w:proofErr w:type="spellStart"/>
      <w:r w:rsidR="00375A95" w:rsidRPr="00C70CAD">
        <w:t>Marlitt</w:t>
      </w:r>
      <w:proofErr w:type="spellEnd"/>
      <w:r w:rsidR="00375A95" w:rsidRPr="00C70CAD">
        <w:t>, and Evans with Mrs. Alexander not far behind)</w:t>
      </w:r>
      <w:r w:rsidR="009C42DC">
        <w:t>, and even lower-</w:t>
      </w:r>
      <w:r w:rsidR="00F07732" w:rsidRPr="00C70CAD">
        <w:t>ranking authors are still checked ou</w:t>
      </w:r>
      <w:r w:rsidR="00BC55F4" w:rsidRPr="00C70CAD">
        <w:t>t several times a y</w:t>
      </w:r>
      <w:r w:rsidR="00375A95" w:rsidRPr="00C70CAD">
        <w:t>ear.</w:t>
      </w:r>
      <w:r w:rsidR="009F4C2A">
        <w:t xml:space="preserve"> By the 1890s, </w:t>
      </w:r>
      <w:r w:rsidR="00C0359D">
        <w:t>many of these books were thirty to forty</w:t>
      </w:r>
      <w:r w:rsidR="009F4C2A">
        <w:t xml:space="preserve"> years old.</w:t>
      </w:r>
      <w:r w:rsidR="00540537">
        <w:rPr>
          <w:rStyle w:val="EndnoteReference"/>
        </w:rPr>
        <w:endnoteReference w:id="35"/>
      </w:r>
      <w:r w:rsidR="009C42DC">
        <w:t xml:space="preserve"> </w:t>
      </w:r>
      <w:r w:rsidR="0069340D">
        <w:t xml:space="preserve">In short, </w:t>
      </w:r>
      <w:r w:rsidR="009C42DC">
        <w:t>Muncie library transactions indicate that romance in domestic spaces, as conceived decades earlier, was far from dead.</w:t>
      </w:r>
    </w:p>
    <w:p w:rsidR="0095283B" w:rsidRDefault="00C11FA8" w:rsidP="00FF3DBF">
      <w:pPr>
        <w:spacing w:line="480" w:lineRule="auto"/>
        <w:ind w:firstLine="720"/>
      </w:pPr>
      <w:proofErr w:type="spellStart"/>
      <w:r>
        <w:t>Ma</w:t>
      </w:r>
      <w:r w:rsidR="00FF3DBF">
        <w:t>rlitt’s</w:t>
      </w:r>
      <w:proofErr w:type="spellEnd"/>
      <w:r w:rsidR="00FF3DBF">
        <w:t xml:space="preserve"> </w:t>
      </w:r>
      <w:r w:rsidR="00FF3DBF">
        <w:rPr>
          <w:i/>
        </w:rPr>
        <w:t xml:space="preserve">Old </w:t>
      </w:r>
      <w:proofErr w:type="spellStart"/>
      <w:r w:rsidR="00FF3DBF">
        <w:rPr>
          <w:i/>
        </w:rPr>
        <w:t>Mam’selle’s</w:t>
      </w:r>
      <w:proofErr w:type="spellEnd"/>
      <w:r w:rsidR="00FF3DBF">
        <w:rPr>
          <w:i/>
        </w:rPr>
        <w:t xml:space="preserve"> </w:t>
      </w:r>
      <w:r w:rsidR="00FF3DBF" w:rsidRPr="00A25441">
        <w:rPr>
          <w:i/>
        </w:rPr>
        <w:t>Secre</w:t>
      </w:r>
      <w:r w:rsidR="00FF3DBF">
        <w:t>t introduced, embodied, and shaped the vogue of German domestic fiction and enjoyed a vigorous life in America, along with others like it for about forty years; at the same time, it outlived that vogue by an additional decade and a half on through the First World War—as the good read that almost became “world literature.” Its</w:t>
      </w:r>
      <w:r w:rsidR="00795244">
        <w:t xml:space="preserve"> sojourn</w:t>
      </w:r>
      <w:r w:rsidR="00343F7D">
        <w:t xml:space="preserve">, as </w:t>
      </w:r>
      <w:r w:rsidR="0069340D">
        <w:t xml:space="preserve">the outstanding </w:t>
      </w:r>
      <w:r w:rsidR="00343F7D">
        <w:t xml:space="preserve">representative of the </w:t>
      </w:r>
      <w:r w:rsidR="00422063">
        <w:t>German</w:t>
      </w:r>
      <w:r w:rsidR="00343F7D">
        <w:t xml:space="preserve"> popular novel</w:t>
      </w:r>
      <w:r w:rsidR="00EC290E">
        <w:t xml:space="preserve"> </w:t>
      </w:r>
      <w:r w:rsidR="00FF3DBF">
        <w:t>confirms</w:t>
      </w:r>
      <w:r w:rsidR="001F3E98">
        <w:t xml:space="preserve"> that the life of  “normal literature,” measured in terms of </w:t>
      </w:r>
      <w:r w:rsidR="00022F23">
        <w:t>publishing and circulation</w:t>
      </w:r>
      <w:r w:rsidR="000630F0">
        <w:t xml:space="preserve"> can</w:t>
      </w:r>
      <w:r w:rsidR="003B5403">
        <w:t xml:space="preserve"> </w:t>
      </w:r>
      <w:r w:rsidR="008427C8">
        <w:t xml:space="preserve">extend to forty </w:t>
      </w:r>
      <w:r w:rsidR="001F3E98">
        <w:t>years</w:t>
      </w:r>
      <w:r w:rsidR="008427C8">
        <w:t xml:space="preserve"> and more</w:t>
      </w:r>
      <w:r w:rsidR="0069340D">
        <w:t xml:space="preserve">, well over </w:t>
      </w:r>
      <w:proofErr w:type="spellStart"/>
      <w:r w:rsidR="0069340D">
        <w:t>Moretti’s</w:t>
      </w:r>
      <w:proofErr w:type="spellEnd"/>
      <w:r w:rsidR="0069340D">
        <w:t xml:space="preserve"> estimate, yet</w:t>
      </w:r>
      <w:r w:rsidR="00422063">
        <w:t xml:space="preserve"> without </w:t>
      </w:r>
      <w:r w:rsidR="00D24885">
        <w:t>even this</w:t>
      </w:r>
      <w:r w:rsidR="0069340D">
        <w:t xml:space="preserve"> </w:t>
      </w:r>
      <w:r w:rsidR="00EC290E">
        <w:t xml:space="preserve">one </w:t>
      </w:r>
      <w:r w:rsidR="0069340D">
        <w:t>outstanding representative</w:t>
      </w:r>
      <w:r w:rsidR="009C42DC">
        <w:t xml:space="preserve"> of </w:t>
      </w:r>
      <w:r w:rsidR="001E1E4B">
        <w:t xml:space="preserve">fashionable </w:t>
      </w:r>
      <w:r w:rsidR="00022F23">
        <w:t xml:space="preserve">“normal </w:t>
      </w:r>
      <w:r w:rsidR="00422063">
        <w:t>literature</w:t>
      </w:r>
      <w:r w:rsidR="00022F23">
        <w:t xml:space="preserve">” </w:t>
      </w:r>
      <w:r w:rsidR="0069340D">
        <w:t>entering an enduring</w:t>
      </w:r>
      <w:r w:rsidR="008964E5">
        <w:t xml:space="preserve"> reading canon</w:t>
      </w:r>
      <w:r w:rsidR="0069340D">
        <w:t xml:space="preserve">, </w:t>
      </w:r>
      <w:r w:rsidR="00022F23">
        <w:t>that is</w:t>
      </w:r>
      <w:r w:rsidR="00790E41">
        <w:t>,</w:t>
      </w:r>
      <w:r w:rsidR="00022F23">
        <w:t xml:space="preserve"> without it beco</w:t>
      </w:r>
      <w:r w:rsidR="0069340D">
        <w:t xml:space="preserve">ming the </w:t>
      </w:r>
      <w:r w:rsidR="008964E5">
        <w:t>one of a kind</w:t>
      </w:r>
      <w:r w:rsidR="00A25441">
        <w:t xml:space="preserve"> </w:t>
      </w:r>
      <w:r w:rsidR="0069340D">
        <w:t>such as</w:t>
      </w:r>
      <w:r w:rsidR="00022F23">
        <w:t xml:space="preserve"> </w:t>
      </w:r>
      <w:r w:rsidR="00022F23" w:rsidRPr="00022F23">
        <w:rPr>
          <w:i/>
        </w:rPr>
        <w:t>Robinson Crusoe</w:t>
      </w:r>
      <w:r w:rsidR="009C42DC">
        <w:t>,</w:t>
      </w:r>
      <w:r w:rsidR="00022F23">
        <w:t xml:space="preserve"> </w:t>
      </w:r>
      <w:r w:rsidR="00022F23" w:rsidRPr="00022F23">
        <w:rPr>
          <w:i/>
        </w:rPr>
        <w:t>Don Quixote</w:t>
      </w:r>
      <w:r w:rsidR="009C42DC">
        <w:t>, or indeed</w:t>
      </w:r>
      <w:r w:rsidR="00022F23">
        <w:t xml:space="preserve"> </w:t>
      </w:r>
      <w:r w:rsidR="00022F23" w:rsidRPr="00022F23">
        <w:rPr>
          <w:i/>
        </w:rPr>
        <w:t>Jane Eyre</w:t>
      </w:r>
      <w:r w:rsidR="00022F23">
        <w:t>.</w:t>
      </w:r>
      <w:r w:rsidR="00492A8D">
        <w:t xml:space="preserve"> </w:t>
      </w:r>
    </w:p>
    <w:p w:rsidR="0095283B" w:rsidRDefault="0095283B" w:rsidP="00FF3DBF">
      <w:pPr>
        <w:spacing w:line="480" w:lineRule="auto"/>
        <w:ind w:firstLine="720"/>
      </w:pPr>
    </w:p>
    <w:p w:rsidR="00712BF1" w:rsidRPr="0095283B" w:rsidRDefault="005B2BD6" w:rsidP="0095283B">
      <w:pPr>
        <w:spacing w:line="480" w:lineRule="auto"/>
        <w:rPr>
          <w:b/>
        </w:rPr>
      </w:pPr>
      <w:r>
        <w:rPr>
          <w:b/>
        </w:rPr>
        <w:t>Concluding</w:t>
      </w:r>
      <w:r w:rsidR="0095283B">
        <w:rPr>
          <w:b/>
        </w:rPr>
        <w:t xml:space="preserve"> </w:t>
      </w:r>
      <w:r w:rsidR="0095283B" w:rsidRPr="0095283B">
        <w:rPr>
          <w:b/>
        </w:rPr>
        <w:t>Happily Ever After</w:t>
      </w:r>
    </w:p>
    <w:p w:rsidR="009477C2" w:rsidRPr="001A799F" w:rsidRDefault="00724A82" w:rsidP="0095283B">
      <w:pPr>
        <w:spacing w:line="480" w:lineRule="auto"/>
        <w:rPr>
          <w:highlight w:val="yellow"/>
        </w:rPr>
      </w:pPr>
      <w:r>
        <w:t>In this essay I have</w:t>
      </w:r>
      <w:r w:rsidR="00873815">
        <w:t xml:space="preserve"> demonstrate</w:t>
      </w:r>
      <w:r>
        <w:t>d</w:t>
      </w:r>
      <w:r w:rsidR="008E4634">
        <w:t xml:space="preserve"> how </w:t>
      </w:r>
      <w:r w:rsidR="00873815">
        <w:t xml:space="preserve">variously </w:t>
      </w:r>
      <w:r w:rsidR="008E4634">
        <w:t>combining</w:t>
      </w:r>
      <w:r w:rsidR="00460733" w:rsidRPr="00984FCD">
        <w:t xml:space="preserve"> close </w:t>
      </w:r>
      <w:r w:rsidR="00F650B0">
        <w:t>examination of one or two objects</w:t>
      </w:r>
      <w:r w:rsidR="00C11FA8">
        <w:t xml:space="preserve"> </w:t>
      </w:r>
      <w:r w:rsidR="00F650B0">
        <w:t>with</w:t>
      </w:r>
      <w:r w:rsidR="00460733" w:rsidRPr="00984FCD">
        <w:t xml:space="preserve"> </w:t>
      </w:r>
      <w:r w:rsidR="00810406" w:rsidRPr="00984FCD">
        <w:t>distant reading</w:t>
      </w:r>
      <w:r w:rsidR="00B066F3">
        <w:t>s</w:t>
      </w:r>
      <w:r w:rsidR="00460733" w:rsidRPr="00984FCD">
        <w:t xml:space="preserve"> </w:t>
      </w:r>
      <w:r w:rsidR="00F650B0">
        <w:t xml:space="preserve">of many objects and large datasets </w:t>
      </w:r>
      <w:r w:rsidR="00460733" w:rsidRPr="00984FCD">
        <w:t xml:space="preserve">can be fruitful </w:t>
      </w:r>
      <w:r w:rsidR="00F650B0">
        <w:t>for analyzing</w:t>
      </w:r>
      <w:r w:rsidR="00C70CAD">
        <w:t xml:space="preserve"> the </w:t>
      </w:r>
      <w:r w:rsidR="00F5557B">
        <w:t xml:space="preserve">appeal and </w:t>
      </w:r>
      <w:r w:rsidR="00C70CAD">
        <w:t xml:space="preserve">circulation of </w:t>
      </w:r>
      <w:r w:rsidR="00000CC6">
        <w:t xml:space="preserve">popular </w:t>
      </w:r>
      <w:r w:rsidR="00C70CAD">
        <w:t>literature across political and linguistic boundaries</w:t>
      </w:r>
      <w:r w:rsidR="00D94805">
        <w:t xml:space="preserve"> </w:t>
      </w:r>
      <w:r w:rsidR="00B41CD0">
        <w:t>over time</w:t>
      </w:r>
      <w:r w:rsidR="00000CC6">
        <w:t xml:space="preserve"> under certain industrial conditions</w:t>
      </w:r>
      <w:r w:rsidR="00873815">
        <w:t>. In closing I return to</w:t>
      </w:r>
      <w:r w:rsidR="00125228">
        <w:t xml:space="preserve"> the question of the popularity of German domestic fiction in America with a parting glance at</w:t>
      </w:r>
      <w:r w:rsidR="00873815">
        <w:t xml:space="preserve"> </w:t>
      </w:r>
      <w:r w:rsidR="009477C2">
        <w:rPr>
          <w:highlight w:val="yellow"/>
        </w:rPr>
        <w:t xml:space="preserve">the </w:t>
      </w:r>
      <w:r w:rsidR="00C16CE8">
        <w:rPr>
          <w:highlight w:val="yellow"/>
        </w:rPr>
        <w:t xml:space="preserve">emotionally satisfying </w:t>
      </w:r>
      <w:r w:rsidR="009477C2">
        <w:rPr>
          <w:highlight w:val="yellow"/>
        </w:rPr>
        <w:t>happy ending</w:t>
      </w:r>
      <w:r w:rsidR="001A799F">
        <w:rPr>
          <w:highlight w:val="yellow"/>
        </w:rPr>
        <w:t xml:space="preserve"> that characterizes this set of books</w:t>
      </w:r>
      <w:r w:rsidR="001A799F">
        <w:t xml:space="preserve"> and that supported the nineteenth-century investment in domestic felicity on both sides of the Atlantic.</w:t>
      </w:r>
    </w:p>
    <w:p w:rsidR="00EB65E8" w:rsidRDefault="00970987" w:rsidP="008C5FEC">
      <w:pPr>
        <w:spacing w:line="480" w:lineRule="auto"/>
        <w:ind w:firstLine="720"/>
      </w:pPr>
      <w:r>
        <w:t xml:space="preserve">As I have </w:t>
      </w:r>
      <w:r w:rsidR="00F1385D">
        <w:t>argued at len</w:t>
      </w:r>
      <w:r w:rsidR="00B2410B">
        <w:t>gth</w:t>
      </w:r>
      <w:r>
        <w:t xml:space="preserve"> in </w:t>
      </w:r>
      <w:r w:rsidRPr="00970987">
        <w:rPr>
          <w:i/>
        </w:rPr>
        <w:t>German Writing, American Reading: Women and the Import of German Fiction, 1866-1917</w:t>
      </w:r>
      <w:r w:rsidR="00B2410B">
        <w:t>, the principal features that American readers who liked these books</w:t>
      </w:r>
      <w:r w:rsidR="00F1385D">
        <w:t xml:space="preserve"> came to a</w:t>
      </w:r>
      <w:r w:rsidR="00B2410B">
        <w:t>ssociate with them</w:t>
      </w:r>
      <w:r w:rsidR="00F1385D">
        <w:t xml:space="preserve"> and </w:t>
      </w:r>
      <w:r w:rsidR="00B2410B">
        <w:t>to understan</w:t>
      </w:r>
      <w:r w:rsidR="00F1385D">
        <w:t>d as “German” comprised the affective elements and domestic settings</w:t>
      </w:r>
      <w:r w:rsidR="00B2410B">
        <w:t>. R</w:t>
      </w:r>
      <w:r w:rsidR="00F1385D">
        <w:t xml:space="preserve">eaders could absorb </w:t>
      </w:r>
      <w:r w:rsidR="00B2410B">
        <w:t xml:space="preserve">these narrative elements </w:t>
      </w:r>
      <w:r w:rsidR="00F1385D">
        <w:t xml:space="preserve">as pleasurably alienated versions of the norms of domesticity to which they were </w:t>
      </w:r>
      <w:r w:rsidR="00B2410B">
        <w:t xml:space="preserve">themselves were </w:t>
      </w:r>
      <w:r w:rsidR="00F1385D">
        <w:t xml:space="preserve">attached. </w:t>
      </w:r>
      <w:r w:rsidR="0029554C" w:rsidRPr="00D72AAB">
        <w:t xml:space="preserve">American </w:t>
      </w:r>
      <w:r w:rsidR="00CD0787" w:rsidRPr="00D72AAB">
        <w:t>reviewer</w:t>
      </w:r>
      <w:r w:rsidR="00CC5F3F" w:rsidRPr="00D72AAB">
        <w:t>s</w:t>
      </w:r>
      <w:r w:rsidR="00CD0787" w:rsidRPr="00D72AAB">
        <w:t xml:space="preserve"> who </w:t>
      </w:r>
      <w:r w:rsidR="00750569" w:rsidRPr="00D72AAB">
        <w:t>in</w:t>
      </w:r>
      <w:r w:rsidR="00411146" w:rsidRPr="00D72AAB">
        <w:t xml:space="preserve"> the early 1870s </w:t>
      </w:r>
      <w:r w:rsidR="000A168C" w:rsidRPr="00D72AAB">
        <w:t xml:space="preserve">praised </w:t>
      </w:r>
      <w:r w:rsidR="007F34A0">
        <w:t xml:space="preserve">the ever-growing stock </w:t>
      </w:r>
      <w:r w:rsidR="009477C2">
        <w:t xml:space="preserve">of </w:t>
      </w:r>
      <w:r w:rsidR="000A168C" w:rsidRPr="00D72AAB">
        <w:t>German</w:t>
      </w:r>
      <w:r w:rsidR="00411146" w:rsidRPr="00D72AAB">
        <w:t xml:space="preserve"> </w:t>
      </w:r>
      <w:r w:rsidR="009E3ED2" w:rsidRPr="00D72AAB">
        <w:t>novels</w:t>
      </w:r>
      <w:r w:rsidR="007F34A0">
        <w:t xml:space="preserve"> in translation</w:t>
      </w:r>
      <w:r w:rsidR="009E3ED2" w:rsidRPr="00D72AAB">
        <w:t xml:space="preserve"> for their</w:t>
      </w:r>
      <w:r w:rsidR="00411146" w:rsidRPr="00D72AAB">
        <w:t xml:space="preserve"> </w:t>
      </w:r>
      <w:r w:rsidR="00EB3129" w:rsidRPr="00D72AAB">
        <w:t>“peculiar tinge of romance which is the cha</w:t>
      </w:r>
      <w:r w:rsidR="0070036C">
        <w:t>racteristic of German sentiment</w:t>
      </w:r>
      <w:r w:rsidR="00EB3129" w:rsidRPr="00D72AAB">
        <w:t>”</w:t>
      </w:r>
      <w:r w:rsidR="00EB3129" w:rsidRPr="00D72AAB">
        <w:rPr>
          <w:rStyle w:val="EndnoteReference"/>
        </w:rPr>
        <w:endnoteReference w:id="36"/>
      </w:r>
      <w:r w:rsidR="00CC5F3F" w:rsidRPr="00D72AAB">
        <w:t xml:space="preserve"> and </w:t>
      </w:r>
      <w:r w:rsidR="007F34A0">
        <w:t xml:space="preserve">as </w:t>
      </w:r>
      <w:r w:rsidR="00CC5F3F" w:rsidRPr="00D72AAB">
        <w:t>“suffuse</w:t>
      </w:r>
      <w:r w:rsidR="009E3ED2" w:rsidRPr="00D72AAB">
        <w:t>d with a romantic glow”</w:t>
      </w:r>
      <w:r w:rsidR="00CC5F3F" w:rsidRPr="00D72AAB">
        <w:rPr>
          <w:rStyle w:val="EndnoteReference"/>
        </w:rPr>
        <w:endnoteReference w:id="37"/>
      </w:r>
      <w:r w:rsidR="00CC5F3F" w:rsidRPr="00D72AAB">
        <w:t xml:space="preserve"> </w:t>
      </w:r>
      <w:r w:rsidR="00FB006A" w:rsidRPr="00D72AAB">
        <w:t xml:space="preserve">did not </w:t>
      </w:r>
      <w:r w:rsidR="00B2410B">
        <w:t xml:space="preserve">in fact </w:t>
      </w:r>
      <w:r w:rsidR="00FB006A" w:rsidRPr="00D72AAB">
        <w:t>worry</w:t>
      </w:r>
      <w:r w:rsidR="009E3ED2" w:rsidRPr="00D72AAB">
        <w:t xml:space="preserve"> much about </w:t>
      </w:r>
      <w:r w:rsidR="00C16CE8">
        <w:t xml:space="preserve">the </w:t>
      </w:r>
      <w:r w:rsidR="009E3ED2" w:rsidRPr="00D72AAB">
        <w:t>verisi</w:t>
      </w:r>
      <w:r w:rsidR="008C5FEC">
        <w:t xml:space="preserve">militude or historicity </w:t>
      </w:r>
      <w:r w:rsidR="00C16CE8">
        <w:t>of these novels, but rather their emotional effects</w:t>
      </w:r>
      <w:r w:rsidR="009E3ED2" w:rsidRPr="00D72AAB">
        <w:t>.</w:t>
      </w:r>
      <w:r w:rsidR="001C729C" w:rsidRPr="00D72AAB">
        <w:t xml:space="preserve"> </w:t>
      </w:r>
      <w:r w:rsidR="00B2410B">
        <w:t>S</w:t>
      </w:r>
      <w:r w:rsidR="001C729C" w:rsidRPr="00D72AAB">
        <w:t>uch</w:t>
      </w:r>
      <w:r w:rsidR="008F1E80" w:rsidRPr="00D72AAB">
        <w:t xml:space="preserve"> novels</w:t>
      </w:r>
      <w:r w:rsidR="00A61BA2" w:rsidRPr="00D72AAB">
        <w:t>, set in far-off Germany,</w:t>
      </w:r>
      <w:r w:rsidR="007D591F" w:rsidRPr="00D72AAB">
        <w:t xml:space="preserve"> offered </w:t>
      </w:r>
      <w:r w:rsidR="00B05A9B" w:rsidRPr="00D72AAB">
        <w:t>American readers</w:t>
      </w:r>
      <w:r w:rsidR="00B05A9B">
        <w:t>, mainly women and girls,</w:t>
      </w:r>
      <w:r w:rsidR="008F1E80" w:rsidRPr="00984FCD">
        <w:t xml:space="preserve"> </w:t>
      </w:r>
      <w:r w:rsidR="00FB006A">
        <w:t xml:space="preserve">precisely </w:t>
      </w:r>
      <w:r w:rsidR="007D591F" w:rsidRPr="00984FCD">
        <w:t xml:space="preserve">the </w:t>
      </w:r>
      <w:r w:rsidR="00C16CE8">
        <w:t xml:space="preserve">pleasant </w:t>
      </w:r>
      <w:r w:rsidR="007D591F" w:rsidRPr="00984FCD">
        <w:t>possibili</w:t>
      </w:r>
      <w:r w:rsidR="008F1E80" w:rsidRPr="00984FCD">
        <w:t xml:space="preserve">ty of suspending the </w:t>
      </w:r>
      <w:r w:rsidR="00D7213D" w:rsidRPr="00984FCD">
        <w:t xml:space="preserve">more </w:t>
      </w:r>
      <w:r w:rsidR="008F1E80" w:rsidRPr="00984FCD">
        <w:t>rigorous expectation</w:t>
      </w:r>
      <w:r w:rsidR="007D591F" w:rsidRPr="00984FCD">
        <w:t xml:space="preserve">s of </w:t>
      </w:r>
      <w:r w:rsidR="008F1E80" w:rsidRPr="00984FCD">
        <w:t xml:space="preserve">social and psychological </w:t>
      </w:r>
      <w:r w:rsidR="007D591F" w:rsidRPr="00984FCD">
        <w:t xml:space="preserve">realism while affirming </w:t>
      </w:r>
      <w:r w:rsidR="00181EB4" w:rsidRPr="00984FCD">
        <w:t>their</w:t>
      </w:r>
      <w:r w:rsidR="002B23A1" w:rsidRPr="00984FCD">
        <w:t xml:space="preserve"> </w:t>
      </w:r>
      <w:r w:rsidR="00487FE8" w:rsidRPr="00984FCD">
        <w:t>belief in virtue, romance</w:t>
      </w:r>
      <w:r w:rsidR="00480AEE" w:rsidRPr="00984FCD">
        <w:t>,</w:t>
      </w:r>
      <w:r w:rsidR="00487FE8" w:rsidRPr="00984FCD">
        <w:t xml:space="preserve"> and </w:t>
      </w:r>
      <w:r w:rsidR="00480AEE" w:rsidRPr="00984FCD">
        <w:t xml:space="preserve">the possibility of </w:t>
      </w:r>
      <w:r w:rsidR="00487FE8" w:rsidRPr="00984FCD">
        <w:t>happiness</w:t>
      </w:r>
      <w:r w:rsidR="00480AEE" w:rsidRPr="00984FCD">
        <w:t xml:space="preserve"> in marriage</w:t>
      </w:r>
      <w:r w:rsidR="00181EB4" w:rsidRPr="00984FCD">
        <w:t>, belief</w:t>
      </w:r>
      <w:r w:rsidR="00487FE8" w:rsidRPr="00984FCD">
        <w:t xml:space="preserve"> that </w:t>
      </w:r>
      <w:r w:rsidR="001C729C">
        <w:t xml:space="preserve">these </w:t>
      </w:r>
      <w:r w:rsidR="00487FE8" w:rsidRPr="00984FCD">
        <w:t>readers</w:t>
      </w:r>
      <w:r w:rsidR="00A61BA2" w:rsidRPr="00984FCD">
        <w:t xml:space="preserve"> </w:t>
      </w:r>
      <w:r w:rsidR="009E3ED2">
        <w:t>may in turn</w:t>
      </w:r>
      <w:r w:rsidR="008F1E80" w:rsidRPr="00984FCD">
        <w:t xml:space="preserve"> have </w:t>
      </w:r>
      <w:r w:rsidR="00D7213D" w:rsidRPr="00984FCD">
        <w:t xml:space="preserve">keenly </w:t>
      </w:r>
      <w:r w:rsidR="000D3DF9" w:rsidRPr="00984FCD">
        <w:rPr>
          <w:i/>
        </w:rPr>
        <w:t>felt</w:t>
      </w:r>
      <w:r w:rsidR="00487FE8" w:rsidRPr="00984FCD">
        <w:t xml:space="preserve"> as real</w:t>
      </w:r>
      <w:r w:rsidR="00A61BA2" w:rsidRPr="00984FCD">
        <w:t xml:space="preserve">, </w:t>
      </w:r>
      <w:r w:rsidR="000D3DF9" w:rsidRPr="00984FCD">
        <w:t>vital</w:t>
      </w:r>
      <w:r w:rsidR="00A61BA2" w:rsidRPr="00984FCD">
        <w:t>, and operative</w:t>
      </w:r>
      <w:r w:rsidR="0029554C" w:rsidRPr="00984FCD">
        <w:t xml:space="preserve">. </w:t>
      </w:r>
      <w:r w:rsidR="00C16CE8">
        <w:t xml:space="preserve"> At the turn of the twentieth century in America</w:t>
      </w:r>
      <w:r w:rsidR="00202793">
        <w:t xml:space="preserve"> </w:t>
      </w:r>
      <w:r w:rsidR="000012B5">
        <w:rPr>
          <w:i/>
        </w:rPr>
        <w:t xml:space="preserve">The Old </w:t>
      </w:r>
      <w:proofErr w:type="spellStart"/>
      <w:r w:rsidR="000012B5">
        <w:rPr>
          <w:i/>
        </w:rPr>
        <w:t>Mam’selle</w:t>
      </w:r>
      <w:r w:rsidR="00202793">
        <w:rPr>
          <w:i/>
        </w:rPr>
        <w:t>’</w:t>
      </w:r>
      <w:r w:rsidR="000012B5">
        <w:rPr>
          <w:i/>
        </w:rPr>
        <w:t>s</w:t>
      </w:r>
      <w:proofErr w:type="spellEnd"/>
      <w:r w:rsidR="00202793">
        <w:rPr>
          <w:i/>
        </w:rPr>
        <w:t xml:space="preserve"> S</w:t>
      </w:r>
      <w:r w:rsidR="00202793" w:rsidRPr="00202793">
        <w:rPr>
          <w:i/>
        </w:rPr>
        <w:t>ecret</w:t>
      </w:r>
      <w:r w:rsidR="00202793">
        <w:t xml:space="preserve"> </w:t>
      </w:r>
      <w:r w:rsidR="009477C2">
        <w:t>and others of its ilk were</w:t>
      </w:r>
      <w:r w:rsidR="00036480">
        <w:t xml:space="preserve"> with their happy endings</w:t>
      </w:r>
      <w:r w:rsidR="00202793">
        <w:t xml:space="preserve"> still making</w:t>
      </w:r>
      <w:r w:rsidR="00202793" w:rsidRPr="00984FCD">
        <w:t xml:space="preserve"> present </w:t>
      </w:r>
      <w:r w:rsidR="00202793">
        <w:t>a German imaginary—liberal, optimistic</w:t>
      </w:r>
      <w:r w:rsidR="00FB006A">
        <w:t>,</w:t>
      </w:r>
      <w:r w:rsidR="00202793">
        <w:t xml:space="preserve"> based in the </w:t>
      </w:r>
      <w:r w:rsidR="007F34A0">
        <w:t xml:space="preserve">regional </w:t>
      </w:r>
      <w:r w:rsidR="00202793">
        <w:t>home town</w:t>
      </w:r>
      <w:r w:rsidR="00842AED">
        <w:t xml:space="preserve"> and belief in marriage</w:t>
      </w:r>
      <w:r w:rsidR="00202793">
        <w:t xml:space="preserve">—from </w:t>
      </w:r>
      <w:r w:rsidR="00202793" w:rsidRPr="00984FCD">
        <w:t xml:space="preserve">decades earlier, one that persisted </w:t>
      </w:r>
      <w:r w:rsidR="00202793">
        <w:t>in Imperial Germany only in attenuated form.</w:t>
      </w:r>
      <w:r w:rsidR="004A3249">
        <w:t xml:space="preserve"> </w:t>
      </w:r>
    </w:p>
    <w:p w:rsidR="00EB65E8" w:rsidRDefault="007F1405" w:rsidP="00EB65E8">
      <w:pPr>
        <w:spacing w:line="480" w:lineRule="auto"/>
        <w:ind w:firstLine="720"/>
      </w:pPr>
      <w:r>
        <w:t xml:space="preserve">In the wake of the animated film </w:t>
      </w:r>
      <w:r>
        <w:rPr>
          <w:i/>
        </w:rPr>
        <w:t xml:space="preserve">Snow White and </w:t>
      </w:r>
      <w:r w:rsidR="0070036C">
        <w:rPr>
          <w:i/>
        </w:rPr>
        <w:t>the Seven D</w:t>
      </w:r>
      <w:r>
        <w:rPr>
          <w:i/>
        </w:rPr>
        <w:t xml:space="preserve">warfs </w:t>
      </w:r>
      <w:r>
        <w:t>(1937), t</w:t>
      </w:r>
      <w:r w:rsidR="008C5FEC">
        <w:t>hese German dreams</w:t>
      </w:r>
      <w:r w:rsidR="00842AED">
        <w:t xml:space="preserve"> of domestic happiness would be replaced by</w:t>
      </w:r>
      <w:r>
        <w:t xml:space="preserve"> other German stories specifically altered for the American market. </w:t>
      </w:r>
      <w:r w:rsidR="008C5FEC">
        <w:t>U</w:t>
      </w:r>
      <w:r w:rsidR="009E3ED2" w:rsidRPr="009D3C3E">
        <w:t>nlike the</w:t>
      </w:r>
      <w:r w:rsidR="00EB65E8">
        <w:t xml:space="preserve"> later</w:t>
      </w:r>
      <w:r w:rsidR="009E3ED2" w:rsidRPr="009D3C3E">
        <w:t xml:space="preserve"> </w:t>
      </w:r>
      <w:proofErr w:type="spellStart"/>
      <w:r w:rsidR="009E3ED2" w:rsidRPr="009D3C3E">
        <w:t>Disneyfied</w:t>
      </w:r>
      <w:proofErr w:type="spellEnd"/>
      <w:r w:rsidR="008C5FEC">
        <w:t xml:space="preserve"> </w:t>
      </w:r>
      <w:r w:rsidR="009E3ED2" w:rsidRPr="009D3C3E">
        <w:t xml:space="preserve">versions of German fairy tales, </w:t>
      </w:r>
      <w:r>
        <w:t xml:space="preserve">however, these popular </w:t>
      </w:r>
      <w:r w:rsidR="009477C2" w:rsidRPr="009477C2">
        <w:t>German novels</w:t>
      </w:r>
      <w:r w:rsidR="009477C2">
        <w:rPr>
          <w:i/>
        </w:rPr>
        <w:t xml:space="preserve"> </w:t>
      </w:r>
      <w:r w:rsidR="0070036C">
        <w:t>offered themselves</w:t>
      </w:r>
      <w:r w:rsidR="00474B6E">
        <w:t xml:space="preserve"> in the nineteenth century</w:t>
      </w:r>
      <w:r w:rsidR="0070036C">
        <w:t xml:space="preserve"> to American translators and publishers</w:t>
      </w:r>
      <w:r>
        <w:t xml:space="preserve"> </w:t>
      </w:r>
      <w:r w:rsidR="009E3ED2" w:rsidRPr="009D3C3E">
        <w:t>pre</w:t>
      </w:r>
      <w:r w:rsidR="0070036C">
        <w:t xml:space="preserve">-equipped with </w:t>
      </w:r>
      <w:r w:rsidR="009E3ED2" w:rsidRPr="009D3C3E">
        <w:t>happy and conciliatory ending</w:t>
      </w:r>
      <w:r w:rsidR="0070036C">
        <w:t>s, endings</w:t>
      </w:r>
      <w:r>
        <w:t xml:space="preserve"> that allowed for the redemption of </w:t>
      </w:r>
      <w:r w:rsidR="009E3ED2" w:rsidRPr="009D3C3E">
        <w:t>even those who brutalize their own relat</w:t>
      </w:r>
      <w:r>
        <w:t>ives</w:t>
      </w:r>
      <w:r w:rsidR="00FB006A">
        <w:t xml:space="preserve">. </w:t>
      </w:r>
      <w:r w:rsidR="009477C2">
        <w:rPr>
          <w:i/>
        </w:rPr>
        <w:t xml:space="preserve">The Old </w:t>
      </w:r>
      <w:proofErr w:type="spellStart"/>
      <w:r w:rsidR="009477C2">
        <w:rPr>
          <w:i/>
        </w:rPr>
        <w:t>Mam’selle’s</w:t>
      </w:r>
      <w:proofErr w:type="spellEnd"/>
      <w:r w:rsidR="009477C2">
        <w:rPr>
          <w:i/>
        </w:rPr>
        <w:t xml:space="preserve"> Secret </w:t>
      </w:r>
      <w:r w:rsidR="009477C2">
        <w:t xml:space="preserve">provides the quintessential example </w:t>
      </w:r>
      <w:r w:rsidR="00684584">
        <w:t xml:space="preserve">of </w:t>
      </w:r>
      <w:r w:rsidR="00EB65E8">
        <w:t xml:space="preserve">such </w:t>
      </w:r>
      <w:r w:rsidR="00684584">
        <w:t xml:space="preserve">individual happiness </w:t>
      </w:r>
      <w:r w:rsidR="00EB65E8">
        <w:t>realizable</w:t>
      </w:r>
      <w:r w:rsidR="009477C2">
        <w:t xml:space="preserve"> in a social context</w:t>
      </w:r>
      <w:r w:rsidR="00684584">
        <w:t xml:space="preserve"> that can be gently altered for the sake of that happiness</w:t>
      </w:r>
      <w:r w:rsidR="009477C2">
        <w:t xml:space="preserve">. </w:t>
      </w:r>
      <w:r w:rsidR="00FB006A">
        <w:t>I</w:t>
      </w:r>
      <w:r w:rsidR="00842AED">
        <w:t>t closes with the prospect</w:t>
      </w:r>
      <w:r w:rsidR="009E3ED2" w:rsidRPr="009D3C3E">
        <w:t xml:space="preserve"> that even the odious Fra</w:t>
      </w:r>
      <w:r w:rsidR="00202793">
        <w:t xml:space="preserve">u </w:t>
      </w:r>
      <w:proofErr w:type="spellStart"/>
      <w:r w:rsidR="00202793">
        <w:t>Hellwig</w:t>
      </w:r>
      <w:proofErr w:type="spellEnd"/>
      <w:r w:rsidR="00202793">
        <w:t xml:space="preserve">, who is </w:t>
      </w:r>
      <w:r w:rsidR="00EB65E8">
        <w:t xml:space="preserve">quietly </w:t>
      </w:r>
      <w:r w:rsidR="009E3ED2" w:rsidRPr="009D3C3E">
        <w:t>knitting pink baby booties, will one day</w:t>
      </w:r>
      <w:r w:rsidR="00EB65E8">
        <w:t xml:space="preserve"> come round to celebrating</w:t>
      </w:r>
      <w:r w:rsidR="009E3ED2" w:rsidRPr="009D3C3E">
        <w:t xml:space="preserve"> the social and sexual </w:t>
      </w:r>
      <w:r w:rsidR="00036480">
        <w:t xml:space="preserve">union of her son with </w:t>
      </w:r>
      <w:proofErr w:type="spellStart"/>
      <w:r w:rsidR="00036480">
        <w:t>Felicitas</w:t>
      </w:r>
      <w:proofErr w:type="spellEnd"/>
      <w:r w:rsidR="00036480">
        <w:t>: “We hope so, dear reader!”</w:t>
      </w:r>
      <w:r w:rsidR="00036480">
        <w:rPr>
          <w:rStyle w:val="EndnoteReference"/>
        </w:rPr>
        <w:endnoteReference w:id="38"/>
      </w:r>
      <w:r w:rsidR="009E3ED2" w:rsidRPr="009D3C3E">
        <w:t xml:space="preserve"> </w:t>
      </w:r>
    </w:p>
    <w:p w:rsidR="00FB1FB7" w:rsidRDefault="00842AED" w:rsidP="00EB65E8">
      <w:pPr>
        <w:spacing w:line="480" w:lineRule="auto"/>
        <w:ind w:firstLine="720"/>
      </w:pPr>
      <w:r>
        <w:t xml:space="preserve">Of course, </w:t>
      </w:r>
      <w:r w:rsidR="007F1405">
        <w:t>Germany as the place w</w:t>
      </w:r>
      <w:r w:rsidR="00296FA3">
        <w:t>h</w:t>
      </w:r>
      <w:r w:rsidR="007F1405">
        <w:t>ere such redemption and reconciliation</w:t>
      </w:r>
      <w:r w:rsidR="00125228">
        <w:t xml:space="preserve"> are</w:t>
      </w:r>
      <w:r w:rsidR="00296FA3">
        <w:t xml:space="preserve"> possible</w:t>
      </w:r>
      <w:r w:rsidR="009477C2">
        <w:t xml:space="preserve"> </w:t>
      </w:r>
      <w:r w:rsidR="00296FA3">
        <w:t>has little to do with</w:t>
      </w:r>
      <w:r w:rsidR="009477C2">
        <w:t xml:space="preserve"> the </w:t>
      </w:r>
      <w:r w:rsidR="00684584">
        <w:t xml:space="preserve">image of </w:t>
      </w:r>
      <w:r w:rsidR="009477C2">
        <w:t xml:space="preserve">Germany </w:t>
      </w:r>
      <w:r w:rsidR="00684584">
        <w:t>that most Americans harbored</w:t>
      </w:r>
      <w:r w:rsidR="007F1405">
        <w:t xml:space="preserve"> in the twentieth century. A</w:t>
      </w:r>
      <w:r w:rsidR="00C47B8C">
        <w:t>round 1900</w:t>
      </w:r>
      <w:r w:rsidR="007F1405">
        <w:t>, however,</w:t>
      </w:r>
      <w:r w:rsidR="00C47B8C">
        <w:t xml:space="preserve"> it was the Germany of </w:t>
      </w:r>
      <w:r w:rsidR="00684584">
        <w:t xml:space="preserve">many </w:t>
      </w:r>
      <w:r w:rsidR="00C47B8C">
        <w:t xml:space="preserve">American </w:t>
      </w:r>
      <w:r w:rsidR="00684584">
        <w:t xml:space="preserve">adolescent and </w:t>
      </w:r>
      <w:r w:rsidR="00C47B8C">
        <w:t>young adult women’s r</w:t>
      </w:r>
      <w:r w:rsidR="00684584">
        <w:t xml:space="preserve">eading. Not until 1917 would </w:t>
      </w:r>
      <w:r w:rsidR="009E3ED2" w:rsidRPr="009D3C3E">
        <w:t>the bru</w:t>
      </w:r>
      <w:r w:rsidR="00FF27CA">
        <w:t>tal</w:t>
      </w:r>
      <w:r w:rsidR="009155CE">
        <w:t xml:space="preserve"> and up-close and personal</w:t>
      </w:r>
      <w:r w:rsidR="00FF27CA">
        <w:t xml:space="preserve"> reality</w:t>
      </w:r>
      <w:r w:rsidR="009E3ED2">
        <w:t xml:space="preserve"> of </w:t>
      </w:r>
      <w:r w:rsidR="00C11FA8">
        <w:t xml:space="preserve">fathers, brothers, </w:t>
      </w:r>
      <w:r w:rsidR="00B56AEF">
        <w:t>sons</w:t>
      </w:r>
      <w:r w:rsidR="00C11FA8">
        <w:t>, and neighbors</w:t>
      </w:r>
      <w:r w:rsidR="00B56AEF">
        <w:t xml:space="preserve"> marching off to fight </w:t>
      </w:r>
      <w:r w:rsidR="009E3ED2">
        <w:t>the Great War</w:t>
      </w:r>
      <w:r w:rsidR="00684584">
        <w:t xml:space="preserve"> </w:t>
      </w:r>
      <w:r w:rsidR="0095283B">
        <w:t>abruptly and directly</w:t>
      </w:r>
      <w:r w:rsidR="00C16CE8">
        <w:t xml:space="preserve"> </w:t>
      </w:r>
      <w:r w:rsidR="00684584">
        <w:t xml:space="preserve">challenge </w:t>
      </w:r>
      <w:r w:rsidR="00125228">
        <w:t xml:space="preserve">any </w:t>
      </w:r>
      <w:r w:rsidR="00684584">
        <w:t>such</w:t>
      </w:r>
      <w:r w:rsidR="00684584" w:rsidRPr="009D3C3E">
        <w:t xml:space="preserve"> </w:t>
      </w:r>
      <w:r w:rsidR="009155CE">
        <w:t xml:space="preserve">enduring </w:t>
      </w:r>
      <w:r w:rsidR="00684584" w:rsidRPr="009D3C3E">
        <w:t xml:space="preserve">hopeful and heartfelt </w:t>
      </w:r>
      <w:r w:rsidR="00296FA3">
        <w:t xml:space="preserve">American </w:t>
      </w:r>
      <w:r w:rsidR="00684584" w:rsidRPr="009D3C3E">
        <w:t>association</w:t>
      </w:r>
      <w:r w:rsidR="00684584">
        <w:t xml:space="preserve">s of </w:t>
      </w:r>
      <w:r w:rsidR="00684584" w:rsidRPr="009D3C3E">
        <w:t>small-town</w:t>
      </w:r>
      <w:r w:rsidR="00684584">
        <w:t>, regional</w:t>
      </w:r>
      <w:r w:rsidR="00684584" w:rsidRPr="009D3C3E">
        <w:t xml:space="preserve"> Germany with hard-won and well-de</w:t>
      </w:r>
      <w:r w:rsidR="00684584">
        <w:t>served felicity</w:t>
      </w:r>
      <w:r w:rsidR="00970987">
        <w:t>.</w:t>
      </w:r>
    </w:p>
    <w:sectPr w:rsidR="00FB1FB7" w:rsidSect="005E2D4B">
      <w:footerReference w:type="even" r:id="rId7"/>
      <w:footerReference w:type="default" r:id="rId8"/>
      <w:pgSz w:w="12240" w:h="15840"/>
      <w:pgMar w:top="1440" w:right="1800" w:bottom="1440" w:left="1800" w:gutter="0"/>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ynne Tatlock" w:date="2012-06-11T11:08:00Z" w:initials="LT">
    <w:p w:rsidR="0002003C" w:rsidRDefault="0002003C">
      <w:pPr>
        <w:pStyle w:val="CommentText"/>
      </w:pPr>
      <w:r>
        <w:rPr>
          <w:rStyle w:val="CommentReference"/>
        </w:rPr>
        <w:annotationRef/>
      </w:r>
      <w:r>
        <w:t>Check this number.  Flattened data contained 102 issues; some issues have been added to the site Doug Knox created that were not in the Pentecost database.  The two need to be cross-checked.</w:t>
      </w:r>
    </w:p>
  </w:comment>
  <w:comment w:id="1" w:author="Lynne Tatlock" w:date="2012-06-11T12:38:00Z" w:initials="LT">
    <w:p w:rsidR="0002003C" w:rsidRDefault="0002003C">
      <w:pPr>
        <w:pStyle w:val="CommentText"/>
      </w:pPr>
      <w:r>
        <w:rPr>
          <w:rStyle w:val="CommentReference"/>
        </w:rPr>
        <w:annotationRef/>
      </w:r>
      <w:r>
        <w:t xml:space="preserve">New visualization using data from Pentecost database.  The point is not to violate copyright by reproducing the exact same image as in </w:t>
      </w:r>
      <w:proofErr w:type="spellStart"/>
      <w:r>
        <w:t>in</w:t>
      </w:r>
      <w:proofErr w:type="spellEnd"/>
      <w:r>
        <w:t xml:space="preserve"> the book.</w:t>
      </w:r>
    </w:p>
  </w:comment>
  <w:comment w:id="2" w:author="Lynne Tatlock" w:date="2012-06-11T13:02:00Z" w:initials="LT">
    <w:p w:rsidR="0002003C" w:rsidRDefault="0002003C">
      <w:pPr>
        <w:pStyle w:val="CommentText"/>
      </w:pPr>
      <w:r>
        <w:rPr>
          <w:rStyle w:val="CommentReference"/>
        </w:rPr>
        <w:annotationRef/>
      </w:r>
      <w:r>
        <w:t>Please check to see that this formulation corresponds to the data you supplied. Thank you.</w:t>
      </w:r>
    </w:p>
  </w:comment>
  <w:comment w:id="3" w:author="Lynne Tatlock" w:date="2012-06-11T13:32:00Z" w:initials="LT">
    <w:p w:rsidR="0002003C" w:rsidRDefault="0002003C">
      <w:pPr>
        <w:pStyle w:val="CommentText"/>
      </w:pPr>
      <w:r>
        <w:rPr>
          <w:rStyle w:val="CommentReference"/>
        </w:rPr>
        <w:annotationRef/>
      </w:r>
      <w:r>
        <w:t>Please check these numbers.</w:t>
      </w:r>
    </w:p>
  </w:comment>
  <w:comment w:id="4" w:author="Lynne Tatlock" w:date="2012-06-11T16:02:00Z" w:initials="LT">
    <w:p w:rsidR="0002003C" w:rsidRDefault="0002003C">
      <w:pPr>
        <w:pStyle w:val="CommentText"/>
      </w:pPr>
      <w:r>
        <w:rPr>
          <w:rStyle w:val="CommentReference"/>
        </w:rPr>
        <w:annotationRef/>
      </w:r>
      <w:r>
        <w:t>These numbers need to be done somewhat differently I realized as I began to play with the information you gave me.  It’s becoming clear to me that the greatest number of borrowers may be located in a group that looks something l</w:t>
      </w:r>
      <w:r w:rsidR="00B66015">
        <w:t>ike 14-29</w:t>
      </w:r>
      <w:r>
        <w:t>. So I’ve tried some regrouping. I would like to think some more about what can be demonstrated with these numbers.</w:t>
      </w:r>
    </w:p>
  </w:comment>
  <w:comment w:id="5" w:author="Lynne Tatlock" w:date="2012-06-11T13:01:00Z" w:initials="LT">
    <w:p w:rsidR="0002003C" w:rsidRDefault="0002003C">
      <w:pPr>
        <w:pStyle w:val="CommentText"/>
      </w:pPr>
      <w:r>
        <w:rPr>
          <w:rStyle w:val="CommentReference"/>
        </w:rPr>
        <w:annotationRef/>
      </w:r>
      <w:r>
        <w:t>Changed from 150 to 146 reflect B and B’s findings</w:t>
      </w:r>
    </w:p>
  </w:comment>
  <w:comment w:id="6" w:author="Lynne Tatlock" w:date="2012-06-11T13:02:00Z" w:initials="LT">
    <w:p w:rsidR="0002003C" w:rsidRDefault="0002003C">
      <w:pPr>
        <w:pStyle w:val="CommentText"/>
      </w:pPr>
      <w:r>
        <w:rPr>
          <w:rStyle w:val="CommentReference"/>
        </w:rPr>
        <w:annotationRef/>
      </w:r>
      <w:r>
        <w:t>If 150 is incorrect, then these percentages must all be incorrect. May I have percentages for 15-19, 20-29, 30=29, 40-49. Also for 19 or younger.  Thank you.</w:t>
      </w:r>
    </w:p>
  </w:comment>
  <w:comment w:id="7" w:author="Lynne Tatlock" w:date="2012-06-11T16:10:00Z" w:initials="LT">
    <w:p w:rsidR="00B66015" w:rsidRDefault="00B66015">
      <w:pPr>
        <w:pStyle w:val="CommentText"/>
      </w:pPr>
      <w:r>
        <w:rPr>
          <w:rStyle w:val="CommentReference"/>
        </w:rPr>
        <w:annotationRef/>
      </w:r>
      <w:r>
        <w:t>Please fill in the percentage.</w:t>
      </w:r>
    </w:p>
  </w:comment>
  <w:comment w:id="8" w:author="Lynne Tatlock" w:date="2012-06-11T13:16:00Z" w:initials="LT">
    <w:p w:rsidR="0002003C" w:rsidRDefault="0002003C">
      <w:pPr>
        <w:pStyle w:val="CommentText"/>
      </w:pPr>
      <w:r>
        <w:rPr>
          <w:rStyle w:val="CommentReference"/>
        </w:rPr>
        <w:annotationRef/>
      </w:r>
      <w:r>
        <w:t>Are the numbers in this paragraph correct?</w:t>
      </w:r>
    </w:p>
  </w:comment>
  <w:comment w:id="9" w:author="Lynne Tatlock" w:date="2012-06-11T14:37:00Z" w:initials="LT">
    <w:p w:rsidR="0002003C" w:rsidRDefault="0002003C">
      <w:pPr>
        <w:pStyle w:val="CommentText"/>
      </w:pPr>
      <w:r>
        <w:rPr>
          <w:rStyle w:val="CommentReference"/>
        </w:rPr>
        <w:annotationRef/>
      </w:r>
      <w:r>
        <w:t>Let’s figure out a way of making this data visible.  Maybe a chart?</w:t>
      </w:r>
    </w:p>
    <w:p w:rsidR="0002003C" w:rsidRDefault="0002003C">
      <w:pPr>
        <w:pStyle w:val="CommentText"/>
      </w:pPr>
    </w:p>
    <w:p w:rsidR="0002003C" w:rsidRDefault="0002003C">
      <w:pPr>
        <w:pStyle w:val="CommentText"/>
      </w:pPr>
      <w:r>
        <w:t xml:space="preserve">I’d also like to experiment with one of Steve’s “market basket” networks making OMS or possibly </w:t>
      </w:r>
      <w:proofErr w:type="spellStart"/>
      <w:r>
        <w:t>Marlittt</w:t>
      </w:r>
      <w:proofErr w:type="spellEnd"/>
      <w:r>
        <w:t>, the author, the center and omitting preferences of all patrons who did not read these books.  That might be something interesting to compare with Horatio Alger readers. I wonder what age group are reading both.  Average age? Median age? Most frequent (mode) age?  Or perhaps think in terms of age clusters.</w:t>
      </w:r>
    </w:p>
  </w:comment>
  <w:comment w:id="10" w:author="Lynne Tatlock" w:date="2012-06-11T13:20:00Z" w:initials="LT">
    <w:p w:rsidR="0002003C" w:rsidRDefault="0002003C">
      <w:pPr>
        <w:pStyle w:val="CommentText"/>
      </w:pPr>
      <w:r>
        <w:rPr>
          <w:rStyle w:val="CommentReference"/>
        </w:rPr>
        <w:annotationRef/>
      </w:r>
      <w:r>
        <w:t>Is my arithmetic correct here?</w:t>
      </w:r>
    </w:p>
  </w:comment>
  <w:comment w:id="11" w:author="Lynne Tatlock" w:date="2012-06-11T13:20:00Z" w:initials="LT">
    <w:p w:rsidR="0002003C" w:rsidRDefault="0002003C">
      <w:pPr>
        <w:pStyle w:val="CommentText"/>
      </w:pPr>
      <w:r>
        <w:rPr>
          <w:rStyle w:val="CommentReference"/>
        </w:rPr>
        <w:annotationRef/>
      </w:r>
      <w:r>
        <w:t>Let’s check this statement.  Can we do a visualization with Wister at the center?</w:t>
      </w:r>
    </w:p>
  </w:comment>
  <w:comment w:id="12" w:author="Lynne Tatlock" w:date="2012-01-21T10:29:00Z" w:initials="LT">
    <w:p w:rsidR="0002003C" w:rsidRDefault="0002003C">
      <w:pPr>
        <w:pStyle w:val="CommentText"/>
      </w:pPr>
      <w:r>
        <w:rPr>
          <w:rStyle w:val="CommentReference"/>
        </w:rPr>
        <w:annotationRef/>
      </w:r>
      <w:r>
        <w:t xml:space="preserve">Provide some kind of visual </w:t>
      </w:r>
      <w:proofErr w:type="spellStart"/>
      <w:r>
        <w:t>rpresentation</w:t>
      </w:r>
      <w:proofErr w:type="spellEnd"/>
      <w:r>
        <w:t xml:space="preserve"> here</w:t>
      </w:r>
    </w:p>
  </w:comment>
  <w:comment w:id="13" w:author="Lynne Tatlock" w:date="2012-06-11T13:55:00Z" w:initials="LT">
    <w:p w:rsidR="0002003C" w:rsidRDefault="0002003C" w:rsidP="008E6C5B">
      <w:pPr>
        <w:pStyle w:val="CommentText"/>
      </w:pPr>
      <w:r>
        <w:rPr>
          <w:rStyle w:val="CommentReference"/>
        </w:rPr>
        <w:annotationRef/>
      </w:r>
      <w:r>
        <w:t>Correct term?</w:t>
      </w:r>
    </w:p>
  </w:comment>
  <w:comment w:id="14" w:author="Lynne Tatlock" w:date="2012-06-11T13:56:00Z" w:initials="LT">
    <w:p w:rsidR="0002003C" w:rsidRDefault="0002003C">
      <w:pPr>
        <w:pStyle w:val="CommentText"/>
      </w:pPr>
      <w:r>
        <w:rPr>
          <w:rStyle w:val="CommentReference"/>
        </w:rPr>
        <w:annotationRef/>
      </w:r>
      <w:r>
        <w:t>Is this true?</w:t>
      </w:r>
    </w:p>
  </w:comment>
  <w:comment w:id="15" w:author="Lynne Tatlock" w:date="2012-06-11T13:55:00Z" w:initials="LT">
    <w:p w:rsidR="0002003C" w:rsidRDefault="0002003C" w:rsidP="008E6C5B">
      <w:pPr>
        <w:pStyle w:val="CommentText"/>
      </w:pPr>
      <w:r>
        <w:rPr>
          <w:rStyle w:val="CommentReference"/>
        </w:rPr>
        <w:annotationRef/>
      </w:r>
      <w:r>
        <w:t xml:space="preserve">Figure out what to do with this information. Here I think we may need topic modeling again or something else that identifies commonalities in this cluster.  One approach might be to look at the top 20 authors who figure in this cluster. </w:t>
      </w:r>
    </w:p>
  </w:comment>
  <w:comment w:id="16" w:author="Lynne Tatlock" w:date="2012-06-11T13:35:00Z" w:initials="LT">
    <w:p w:rsidR="0002003C" w:rsidRDefault="0002003C">
      <w:pPr>
        <w:pStyle w:val="CommentText"/>
      </w:pPr>
      <w:r>
        <w:rPr>
          <w:rStyle w:val="CommentReference"/>
        </w:rPr>
        <w:annotationRef/>
      </w:r>
      <w:r>
        <w:t>Please check all of these numbers</w:t>
      </w:r>
    </w:p>
  </w:comment>
  <w:comment w:id="17" w:author="Lynne Tatlock" w:date="2012-05-06T19:04:00Z" w:initials="LT">
    <w:p w:rsidR="0002003C" w:rsidRDefault="0002003C">
      <w:pPr>
        <w:pStyle w:val="CommentText"/>
      </w:pPr>
      <w:r>
        <w:rPr>
          <w:rStyle w:val="CommentReference"/>
        </w:rPr>
        <w:annotationRef/>
      </w:r>
      <w:r>
        <w:t xml:space="preserve">Include </w:t>
      </w:r>
      <w:proofErr w:type="spellStart"/>
      <w:r>
        <w:t>datea</w:t>
      </w:r>
      <w:proofErr w:type="spellEnd"/>
      <w:r>
        <w:t xml:space="preserve"> for all three</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02003C" w:rsidRDefault="0002003C" w:rsidP="008235C1">
      <w:pPr>
        <w:pStyle w:val="EndnoteText"/>
        <w:spacing w:line="480" w:lineRule="auto"/>
        <w:rPr>
          <w:sz w:val="24"/>
        </w:rPr>
      </w:pPr>
      <w:r>
        <w:rPr>
          <w:sz w:val="24"/>
        </w:rPr>
        <w:t>Notes</w:t>
      </w:r>
    </w:p>
    <w:p w:rsidR="0002003C" w:rsidRPr="008235C1" w:rsidRDefault="0002003C" w:rsidP="008235C1">
      <w:pPr>
        <w:pStyle w:val="EndnoteText"/>
        <w:spacing w:line="480" w:lineRule="auto"/>
        <w:rPr>
          <w:sz w:val="24"/>
        </w:rPr>
      </w:pPr>
      <w:r w:rsidRPr="008235C1">
        <w:rPr>
          <w:rStyle w:val="EndnoteReference"/>
          <w:sz w:val="24"/>
        </w:rPr>
        <w:endnoteRef/>
      </w:r>
      <w:r w:rsidRPr="008235C1">
        <w:rPr>
          <w:sz w:val="24"/>
        </w:rPr>
        <w:t xml:space="preserve"> Edith Wyatt, “A Matter of Taste,” in </w:t>
      </w:r>
      <w:r w:rsidRPr="008235C1">
        <w:rPr>
          <w:i/>
          <w:sz w:val="24"/>
        </w:rPr>
        <w:t>Every One His Own Way</w:t>
      </w:r>
      <w:r w:rsidRPr="008235C1">
        <w:rPr>
          <w:sz w:val="24"/>
        </w:rPr>
        <w:t xml:space="preserve"> (New York: McClure Phillips, 1901), 93-103, here 97.</w:t>
      </w:r>
    </w:p>
  </w:endnote>
  <w:endnote w:id="0">
    <w:p w:rsidR="0002003C" w:rsidRPr="008235C1" w:rsidRDefault="0002003C" w:rsidP="008235C1">
      <w:pPr>
        <w:pStyle w:val="EndnoteText"/>
        <w:tabs>
          <w:tab w:val="left" w:pos="810"/>
        </w:tabs>
        <w:spacing w:line="480" w:lineRule="auto"/>
        <w:rPr>
          <w:sz w:val="24"/>
        </w:rPr>
      </w:pPr>
      <w:r w:rsidRPr="008235C1">
        <w:rPr>
          <w:rStyle w:val="EndnoteReference"/>
          <w:sz w:val="24"/>
        </w:rPr>
        <w:endnoteRef/>
      </w:r>
      <w:r w:rsidRPr="008235C1">
        <w:rPr>
          <w:sz w:val="24"/>
        </w:rPr>
        <w:t xml:space="preserve"> </w:t>
      </w:r>
      <w:proofErr w:type="gramStart"/>
      <w:r w:rsidRPr="008235C1">
        <w:rPr>
          <w:sz w:val="24"/>
        </w:rPr>
        <w:t>Wyatt, “A Matter of Taste,” 103.</w:t>
      </w:r>
      <w:proofErr w:type="gramEnd"/>
    </w:p>
  </w:endnote>
  <w:endnote w:id="1">
    <w:p w:rsidR="0002003C" w:rsidRPr="008235C1" w:rsidRDefault="0002003C"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Charles Dudley Warner, ed., “Old </w:t>
      </w:r>
      <w:proofErr w:type="spellStart"/>
      <w:r w:rsidRPr="008235C1">
        <w:rPr>
          <w:sz w:val="24"/>
          <w:szCs w:val="24"/>
        </w:rPr>
        <w:t>Mamselle’s</w:t>
      </w:r>
      <w:proofErr w:type="spellEnd"/>
      <w:r w:rsidRPr="008235C1">
        <w:rPr>
          <w:sz w:val="24"/>
          <w:szCs w:val="24"/>
        </w:rPr>
        <w:t xml:space="preserve"> Secret,” </w:t>
      </w:r>
      <w:r w:rsidRPr="008235C1">
        <w:rPr>
          <w:i/>
          <w:iCs/>
          <w:sz w:val="24"/>
          <w:szCs w:val="24"/>
        </w:rPr>
        <w:t>Library of the World’s Best Literature, Ancient and Modern</w:t>
      </w:r>
      <w:r w:rsidRPr="008235C1">
        <w:rPr>
          <w:sz w:val="24"/>
          <w:szCs w:val="24"/>
        </w:rPr>
        <w:t>, 31 vols. (New York: J. A. Hill &amp; Company, 1896), 30: 180.</w:t>
      </w:r>
    </w:p>
  </w:endnote>
  <w:endnote w:id="2">
    <w:p w:rsidR="0002003C" w:rsidRPr="008235C1" w:rsidRDefault="0002003C" w:rsidP="008235C1">
      <w:pPr>
        <w:pStyle w:val="EndnoteText"/>
        <w:spacing w:line="480" w:lineRule="auto"/>
        <w:rPr>
          <w:sz w:val="24"/>
          <w:szCs w:val="24"/>
        </w:rPr>
      </w:pPr>
      <w:r w:rsidRPr="008235C1">
        <w:rPr>
          <w:rStyle w:val="EndnoteReference"/>
          <w:sz w:val="24"/>
          <w:szCs w:val="24"/>
        </w:rPr>
        <w:endnoteRef/>
      </w:r>
      <w:r w:rsidRPr="008235C1">
        <w:rPr>
          <w:sz w:val="24"/>
          <w:szCs w:val="24"/>
        </w:rPr>
        <w:t xml:space="preserve"> “Some German Literary Women,” Reprinted from the </w:t>
      </w:r>
      <w:r w:rsidRPr="008235C1">
        <w:rPr>
          <w:i/>
          <w:iCs/>
          <w:sz w:val="24"/>
          <w:szCs w:val="24"/>
        </w:rPr>
        <w:t xml:space="preserve">New York Ledger </w:t>
      </w:r>
      <w:r w:rsidRPr="008235C1">
        <w:rPr>
          <w:sz w:val="24"/>
          <w:szCs w:val="24"/>
        </w:rPr>
        <w:t xml:space="preserve">in </w:t>
      </w:r>
      <w:r w:rsidRPr="008235C1">
        <w:rPr>
          <w:i/>
          <w:iCs/>
          <w:sz w:val="24"/>
          <w:szCs w:val="24"/>
        </w:rPr>
        <w:t>The Galveston Daily News</w:t>
      </w:r>
      <w:r w:rsidRPr="008235C1">
        <w:rPr>
          <w:sz w:val="24"/>
          <w:szCs w:val="24"/>
        </w:rPr>
        <w:t>, 14 December 1895: 8.</w:t>
      </w:r>
    </w:p>
  </w:endnote>
  <w:endnote w:id="3">
    <w:p w:rsidR="0002003C" w:rsidRPr="007F34A0" w:rsidRDefault="0002003C" w:rsidP="002B1833">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Robert </w:t>
      </w:r>
      <w:proofErr w:type="spellStart"/>
      <w:r w:rsidRPr="007F34A0">
        <w:rPr>
          <w:sz w:val="24"/>
          <w:szCs w:val="24"/>
        </w:rPr>
        <w:t>Darnton</w:t>
      </w:r>
      <w:proofErr w:type="spellEnd"/>
      <w:r w:rsidRPr="007F34A0">
        <w:rPr>
          <w:sz w:val="24"/>
          <w:szCs w:val="24"/>
        </w:rPr>
        <w:t xml:space="preserve">, “What is the History of Books,” </w:t>
      </w:r>
      <w:proofErr w:type="spellStart"/>
      <w:r w:rsidRPr="007F34A0">
        <w:rPr>
          <w:i/>
          <w:iCs/>
          <w:sz w:val="24"/>
          <w:szCs w:val="24"/>
        </w:rPr>
        <w:t>Daedalus</w:t>
      </w:r>
      <w:proofErr w:type="spellEnd"/>
      <w:r w:rsidRPr="007F34A0">
        <w:rPr>
          <w:sz w:val="24"/>
          <w:szCs w:val="24"/>
        </w:rPr>
        <w:t xml:space="preserve"> (Summer 1982): 65-83. This essay has been variously anthologized and amplified by </w:t>
      </w:r>
      <w:proofErr w:type="spellStart"/>
      <w:r w:rsidRPr="007F34A0">
        <w:rPr>
          <w:sz w:val="24"/>
          <w:szCs w:val="24"/>
        </w:rPr>
        <w:t>Darnton</w:t>
      </w:r>
      <w:proofErr w:type="spellEnd"/>
      <w:r w:rsidRPr="007F34A0">
        <w:rPr>
          <w:sz w:val="24"/>
          <w:szCs w:val="24"/>
        </w:rPr>
        <w:t xml:space="preserve"> in “Histoire du </w:t>
      </w:r>
      <w:proofErr w:type="spellStart"/>
      <w:r w:rsidRPr="007F34A0">
        <w:rPr>
          <w:sz w:val="24"/>
          <w:szCs w:val="24"/>
        </w:rPr>
        <w:t>livre</w:t>
      </w:r>
      <w:proofErr w:type="spellEnd"/>
      <w:r w:rsidRPr="007F34A0">
        <w:rPr>
          <w:sz w:val="24"/>
          <w:szCs w:val="24"/>
        </w:rPr>
        <w:t xml:space="preserve">—Geschichte des </w:t>
      </w:r>
      <w:proofErr w:type="spellStart"/>
      <w:r w:rsidRPr="007F34A0">
        <w:rPr>
          <w:sz w:val="24"/>
          <w:szCs w:val="24"/>
        </w:rPr>
        <w:t>Buchwesens</w:t>
      </w:r>
      <w:proofErr w:type="spellEnd"/>
      <w:r w:rsidRPr="007F34A0">
        <w:rPr>
          <w:sz w:val="24"/>
          <w:szCs w:val="24"/>
        </w:rPr>
        <w:t xml:space="preserve">: An Agenda for Comparative History,” </w:t>
      </w:r>
      <w:r w:rsidRPr="007F34A0">
        <w:rPr>
          <w:i/>
          <w:iCs/>
          <w:sz w:val="24"/>
          <w:szCs w:val="24"/>
        </w:rPr>
        <w:t>Publishing History</w:t>
      </w:r>
      <w:r w:rsidRPr="007F34A0">
        <w:rPr>
          <w:sz w:val="24"/>
          <w:szCs w:val="24"/>
        </w:rPr>
        <w:t xml:space="preserve"> 22 (1987): 35-41. </w:t>
      </w:r>
      <w:proofErr w:type="spellStart"/>
      <w:r w:rsidRPr="007F34A0">
        <w:rPr>
          <w:sz w:val="24"/>
          <w:szCs w:val="24"/>
        </w:rPr>
        <w:t>Darnton</w:t>
      </w:r>
      <w:proofErr w:type="spellEnd"/>
      <w:r w:rsidRPr="007F34A0">
        <w:rPr>
          <w:sz w:val="24"/>
          <w:szCs w:val="24"/>
        </w:rPr>
        <w:t xml:space="preserve"> returned to the essay again in 2007 in </w:t>
      </w:r>
      <w:proofErr w:type="spellStart"/>
      <w:r w:rsidRPr="007F34A0">
        <w:rPr>
          <w:sz w:val="24"/>
          <w:szCs w:val="24"/>
        </w:rPr>
        <w:t>Darnton</w:t>
      </w:r>
      <w:proofErr w:type="spellEnd"/>
      <w:r w:rsidRPr="007F34A0">
        <w:rPr>
          <w:sz w:val="24"/>
          <w:szCs w:val="24"/>
        </w:rPr>
        <w:t>, “</w:t>
      </w:r>
      <w:proofErr w:type="gramStart"/>
      <w:r w:rsidRPr="007F34A0">
        <w:rPr>
          <w:sz w:val="24"/>
          <w:szCs w:val="24"/>
        </w:rPr>
        <w:t>‘What</w:t>
      </w:r>
      <w:proofErr w:type="gramEnd"/>
      <w:r w:rsidRPr="007F34A0">
        <w:rPr>
          <w:sz w:val="24"/>
          <w:szCs w:val="24"/>
        </w:rPr>
        <w:t xml:space="preserve"> is the History of Books?’ Revisited,” </w:t>
      </w:r>
      <w:r w:rsidRPr="007F34A0">
        <w:rPr>
          <w:i/>
          <w:iCs/>
          <w:sz w:val="24"/>
          <w:szCs w:val="24"/>
        </w:rPr>
        <w:t>Modern Intellectual History</w:t>
      </w:r>
      <w:r w:rsidRPr="007F34A0">
        <w:rPr>
          <w:sz w:val="24"/>
          <w:szCs w:val="24"/>
        </w:rPr>
        <w:t xml:space="preserve"> 4.3 (2007): 495-508.</w:t>
      </w:r>
    </w:p>
  </w:endnote>
  <w:endnote w:id="4">
    <w:p w:rsidR="0002003C" w:rsidRPr="007F34A0" w:rsidRDefault="0002003C" w:rsidP="002B1833">
      <w:pPr>
        <w:pStyle w:val="EndnoteText"/>
        <w:spacing w:line="480" w:lineRule="auto"/>
        <w:rPr>
          <w:sz w:val="24"/>
        </w:rPr>
      </w:pPr>
      <w:r w:rsidRPr="007F34A0">
        <w:rPr>
          <w:rStyle w:val="EndnoteReference"/>
          <w:sz w:val="24"/>
        </w:rPr>
        <w:endnoteRef/>
      </w:r>
      <w:r w:rsidRPr="007F34A0">
        <w:rPr>
          <w:sz w:val="24"/>
        </w:rPr>
        <w:t xml:space="preserve"> Footnote “distant reading” and “close reading.”</w:t>
      </w:r>
    </w:p>
  </w:endnote>
  <w:endnote w:id="5">
    <w:p w:rsidR="0002003C" w:rsidRPr="007F34A0" w:rsidRDefault="0002003C" w:rsidP="002B1833">
      <w:pPr>
        <w:pStyle w:val="EndnoteText"/>
        <w:spacing w:line="480" w:lineRule="auto"/>
        <w:rPr>
          <w:sz w:val="24"/>
        </w:rPr>
      </w:pPr>
      <w:r w:rsidRPr="007F34A0">
        <w:rPr>
          <w:rStyle w:val="EndnoteReference"/>
          <w:sz w:val="24"/>
        </w:rPr>
        <w:endnoteRef/>
      </w:r>
      <w:r w:rsidRPr="007F34A0">
        <w:rPr>
          <w:sz w:val="24"/>
        </w:rPr>
        <w:t xml:space="preserve"> </w:t>
      </w:r>
      <w:r w:rsidRPr="007F34A0">
        <w:rPr>
          <w:i/>
          <w:sz w:val="24"/>
        </w:rPr>
        <w:t xml:space="preserve">Das </w:t>
      </w:r>
      <w:proofErr w:type="spellStart"/>
      <w:r w:rsidRPr="007F34A0">
        <w:rPr>
          <w:i/>
          <w:sz w:val="24"/>
        </w:rPr>
        <w:t>Geheminis</w:t>
      </w:r>
      <w:proofErr w:type="spellEnd"/>
      <w:r w:rsidRPr="007F34A0">
        <w:rPr>
          <w:i/>
          <w:sz w:val="24"/>
        </w:rPr>
        <w:t xml:space="preserve"> </w:t>
      </w:r>
      <w:proofErr w:type="spellStart"/>
      <w:r w:rsidRPr="007F34A0">
        <w:rPr>
          <w:i/>
          <w:sz w:val="24"/>
        </w:rPr>
        <w:t>der</w:t>
      </w:r>
      <w:proofErr w:type="spellEnd"/>
      <w:r w:rsidRPr="007F34A0">
        <w:rPr>
          <w:i/>
          <w:sz w:val="24"/>
        </w:rPr>
        <w:t xml:space="preserve"> </w:t>
      </w:r>
      <w:proofErr w:type="spellStart"/>
      <w:r w:rsidRPr="007F34A0">
        <w:rPr>
          <w:i/>
          <w:sz w:val="24"/>
        </w:rPr>
        <w:t>alten</w:t>
      </w:r>
      <w:proofErr w:type="spellEnd"/>
      <w:r w:rsidRPr="007F34A0">
        <w:rPr>
          <w:i/>
          <w:sz w:val="24"/>
        </w:rPr>
        <w:t xml:space="preserve"> </w:t>
      </w:r>
      <w:proofErr w:type="spellStart"/>
      <w:r w:rsidRPr="007F34A0">
        <w:rPr>
          <w:i/>
          <w:sz w:val="24"/>
        </w:rPr>
        <w:t>Mam’sell</w:t>
      </w:r>
      <w:proofErr w:type="spellEnd"/>
      <w:r w:rsidRPr="007F34A0">
        <w:rPr>
          <w:sz w:val="24"/>
        </w:rPr>
        <w:t xml:space="preserve"> was translated into English in the United Kingdom as well as in the US and also Dutch, Swedish, Danish, </w:t>
      </w:r>
      <w:proofErr w:type="spellStart"/>
      <w:r w:rsidRPr="007F34A0">
        <w:rPr>
          <w:sz w:val="24"/>
        </w:rPr>
        <w:t>Norweigeian</w:t>
      </w:r>
      <w:proofErr w:type="spellEnd"/>
      <w:r w:rsidRPr="007F34A0">
        <w:rPr>
          <w:sz w:val="24"/>
        </w:rPr>
        <w:t>, Spanish, Icelandic, Russian, Czech, French, Portuguese, and most recently into Vietnamese (2004). In several cases, especially English, more than one translation circulated.</w:t>
      </w:r>
    </w:p>
  </w:endnote>
  <w:endnote w:id="6">
    <w:p w:rsidR="0002003C" w:rsidRPr="007F34A0" w:rsidRDefault="0002003C" w:rsidP="0082695A">
      <w:pPr>
        <w:pStyle w:val="EndnoteText"/>
        <w:spacing w:line="480" w:lineRule="auto"/>
        <w:rPr>
          <w:color w:val="FF0000"/>
          <w:sz w:val="24"/>
          <w:szCs w:val="24"/>
        </w:rPr>
      </w:pPr>
      <w:r w:rsidRPr="007F34A0">
        <w:rPr>
          <w:rStyle w:val="EndnoteReference"/>
          <w:sz w:val="24"/>
          <w:szCs w:val="24"/>
        </w:rPr>
        <w:endnoteRef/>
      </w:r>
      <w:r w:rsidRPr="007F34A0">
        <w:rPr>
          <w:sz w:val="24"/>
          <w:szCs w:val="24"/>
        </w:rPr>
        <w:t xml:space="preserve"> Currier Bell, </w:t>
      </w:r>
      <w:r w:rsidRPr="007F34A0">
        <w:rPr>
          <w:i/>
          <w:iCs/>
          <w:sz w:val="24"/>
          <w:szCs w:val="24"/>
        </w:rPr>
        <w:t>Johanna Eyre</w:t>
      </w:r>
      <w:r w:rsidRPr="007F34A0">
        <w:rPr>
          <w:sz w:val="24"/>
          <w:szCs w:val="24"/>
        </w:rPr>
        <w:t xml:space="preserve">, </w:t>
      </w:r>
      <w:proofErr w:type="gramStart"/>
      <w:r w:rsidRPr="007F34A0">
        <w:rPr>
          <w:sz w:val="24"/>
          <w:szCs w:val="24"/>
        </w:rPr>
        <w:t>trans</w:t>
      </w:r>
      <w:proofErr w:type="gramEnd"/>
      <w:r w:rsidRPr="007F34A0">
        <w:rPr>
          <w:sz w:val="24"/>
          <w:szCs w:val="24"/>
        </w:rPr>
        <w:t xml:space="preserve">. </w:t>
      </w:r>
      <w:r w:rsidRPr="007F34A0">
        <w:rPr>
          <w:sz w:val="24"/>
          <w:szCs w:val="24"/>
          <w:lang w:val="de-DE"/>
        </w:rPr>
        <w:t xml:space="preserve">Ernst </w:t>
      </w:r>
      <w:proofErr w:type="spellStart"/>
      <w:r w:rsidRPr="007F34A0">
        <w:rPr>
          <w:sz w:val="24"/>
          <w:szCs w:val="24"/>
          <w:lang w:val="de-DE"/>
        </w:rPr>
        <w:t>Susemihl</w:t>
      </w:r>
      <w:proofErr w:type="spellEnd"/>
      <w:r w:rsidRPr="007F34A0">
        <w:rPr>
          <w:sz w:val="24"/>
          <w:szCs w:val="24"/>
          <w:lang w:val="de-DE"/>
        </w:rPr>
        <w:t xml:space="preserve"> Berlin: </w:t>
      </w:r>
      <w:proofErr w:type="spellStart"/>
      <w:r w:rsidRPr="007F34A0">
        <w:rPr>
          <w:sz w:val="24"/>
          <w:szCs w:val="24"/>
          <w:lang w:val="de-DE"/>
        </w:rPr>
        <w:t>Duncker</w:t>
      </w:r>
      <w:proofErr w:type="spellEnd"/>
      <w:r w:rsidRPr="007F34A0">
        <w:rPr>
          <w:sz w:val="24"/>
          <w:szCs w:val="24"/>
          <w:lang w:val="de-DE"/>
        </w:rPr>
        <w:t xml:space="preserve"> und </w:t>
      </w:r>
      <w:proofErr w:type="spellStart"/>
      <w:r w:rsidRPr="007F34A0">
        <w:rPr>
          <w:sz w:val="24"/>
          <w:szCs w:val="24"/>
          <w:lang w:val="de-DE"/>
        </w:rPr>
        <w:t>Humblot</w:t>
      </w:r>
      <w:proofErr w:type="spellEnd"/>
      <w:r w:rsidRPr="007F34A0">
        <w:rPr>
          <w:sz w:val="24"/>
          <w:szCs w:val="24"/>
          <w:lang w:val="de-DE"/>
        </w:rPr>
        <w:t xml:space="preserve">, 1848. </w:t>
      </w:r>
      <w:r w:rsidRPr="007F34A0">
        <w:rPr>
          <w:i/>
          <w:iCs/>
          <w:sz w:val="24"/>
          <w:szCs w:val="24"/>
        </w:rPr>
        <w:t>Jane Eyre</w:t>
      </w:r>
      <w:r w:rsidRPr="007F34A0">
        <w:rPr>
          <w:sz w:val="24"/>
          <w:szCs w:val="24"/>
        </w:rPr>
        <w:t xml:space="preserve"> was also adapted in 1856 for the German stage as </w:t>
      </w:r>
      <w:r w:rsidRPr="007F34A0">
        <w:rPr>
          <w:i/>
          <w:iCs/>
          <w:sz w:val="24"/>
          <w:szCs w:val="24"/>
        </w:rPr>
        <w:t xml:space="preserve">Die </w:t>
      </w:r>
      <w:proofErr w:type="spellStart"/>
      <w:r w:rsidRPr="007F34A0">
        <w:rPr>
          <w:i/>
          <w:iCs/>
          <w:sz w:val="24"/>
          <w:szCs w:val="24"/>
        </w:rPr>
        <w:t>Waise</w:t>
      </w:r>
      <w:proofErr w:type="spellEnd"/>
      <w:r w:rsidRPr="007F34A0">
        <w:rPr>
          <w:i/>
          <w:iCs/>
          <w:sz w:val="24"/>
          <w:szCs w:val="24"/>
        </w:rPr>
        <w:t xml:space="preserve"> von </w:t>
      </w:r>
      <w:proofErr w:type="spellStart"/>
      <w:r w:rsidRPr="007F34A0">
        <w:rPr>
          <w:i/>
          <w:iCs/>
          <w:sz w:val="24"/>
          <w:szCs w:val="24"/>
        </w:rPr>
        <w:t>Lowood</w:t>
      </w:r>
      <w:proofErr w:type="spellEnd"/>
      <w:r w:rsidRPr="007F34A0">
        <w:rPr>
          <w:sz w:val="24"/>
          <w:szCs w:val="24"/>
        </w:rPr>
        <w:t xml:space="preserve"> (The Orphan of </w:t>
      </w:r>
      <w:proofErr w:type="spellStart"/>
      <w:r w:rsidRPr="007F34A0">
        <w:rPr>
          <w:sz w:val="24"/>
          <w:szCs w:val="24"/>
        </w:rPr>
        <w:t>Lowood</w:t>
      </w:r>
      <w:proofErr w:type="spellEnd"/>
      <w:r w:rsidRPr="007F34A0">
        <w:rPr>
          <w:sz w:val="24"/>
          <w:szCs w:val="24"/>
        </w:rPr>
        <w:t xml:space="preserve">) by the popular playwright Charlotte Birch-Pfeiffer. </w:t>
      </w:r>
    </w:p>
  </w:endnote>
  <w:endnote w:id="7">
    <w:p w:rsidR="0002003C" w:rsidRPr="007F34A0" w:rsidRDefault="0002003C" w:rsidP="0082695A">
      <w:pPr>
        <w:pStyle w:val="EndnoteText"/>
        <w:tabs>
          <w:tab w:val="left" w:pos="540"/>
        </w:tabs>
        <w:spacing w:line="480" w:lineRule="auto"/>
        <w:rPr>
          <w:sz w:val="24"/>
          <w:szCs w:val="24"/>
        </w:rPr>
      </w:pPr>
      <w:r w:rsidRPr="007F34A0">
        <w:rPr>
          <w:rStyle w:val="EndnoteReference"/>
          <w:sz w:val="24"/>
          <w:szCs w:val="24"/>
        </w:rPr>
        <w:endnoteRef/>
      </w:r>
      <w:r w:rsidRPr="007F34A0">
        <w:rPr>
          <w:sz w:val="24"/>
          <w:szCs w:val="24"/>
          <w:lang w:val="de-DE"/>
        </w:rPr>
        <w:t xml:space="preserve"> Rudolf Gottschall, “Die Novellisten der ‘Gartenlaube’,</w:t>
      </w:r>
      <w:proofErr w:type="gramStart"/>
      <w:r w:rsidRPr="007F34A0">
        <w:rPr>
          <w:sz w:val="24"/>
          <w:szCs w:val="24"/>
          <w:lang w:val="de-DE"/>
        </w:rPr>
        <w:t>”</w:t>
      </w:r>
      <w:proofErr w:type="gramEnd"/>
      <w:r w:rsidRPr="007F34A0">
        <w:rPr>
          <w:sz w:val="24"/>
          <w:szCs w:val="24"/>
          <w:lang w:val="de-DE"/>
        </w:rPr>
        <w:t xml:space="preserve"> </w:t>
      </w:r>
      <w:proofErr w:type="spellStart"/>
      <w:r w:rsidRPr="007F34A0">
        <w:rPr>
          <w:sz w:val="24"/>
          <w:szCs w:val="24"/>
          <w:lang w:val="de-DE"/>
        </w:rPr>
        <w:t>review</w:t>
      </w:r>
      <w:proofErr w:type="spellEnd"/>
      <w:r w:rsidRPr="007F34A0">
        <w:rPr>
          <w:sz w:val="24"/>
          <w:szCs w:val="24"/>
          <w:lang w:val="de-DE"/>
        </w:rPr>
        <w:t xml:space="preserve"> </w:t>
      </w:r>
      <w:proofErr w:type="spellStart"/>
      <w:r w:rsidRPr="007F34A0">
        <w:rPr>
          <w:sz w:val="24"/>
          <w:szCs w:val="24"/>
          <w:lang w:val="de-DE"/>
        </w:rPr>
        <w:t>essay</w:t>
      </w:r>
      <w:proofErr w:type="spellEnd"/>
      <w:r w:rsidRPr="007F34A0">
        <w:rPr>
          <w:sz w:val="24"/>
          <w:szCs w:val="24"/>
          <w:lang w:val="de-DE"/>
        </w:rPr>
        <w:t xml:space="preserve"> of “</w:t>
      </w:r>
      <w:proofErr w:type="spellStart"/>
      <w:r w:rsidRPr="007F34A0">
        <w:rPr>
          <w:sz w:val="24"/>
          <w:szCs w:val="24"/>
          <w:lang w:val="de-DE"/>
        </w:rPr>
        <w:t>Goldelse</w:t>
      </w:r>
      <w:proofErr w:type="spellEnd"/>
      <w:r w:rsidRPr="007F34A0">
        <w:rPr>
          <w:sz w:val="24"/>
          <w:szCs w:val="24"/>
          <w:lang w:val="de-DE"/>
        </w:rPr>
        <w:t xml:space="preserve">,” “Das </w:t>
      </w:r>
      <w:proofErr w:type="spellStart"/>
      <w:r w:rsidRPr="007F34A0">
        <w:rPr>
          <w:sz w:val="24"/>
          <w:szCs w:val="24"/>
          <w:lang w:val="de-DE"/>
        </w:rPr>
        <w:t>Geheimniß</w:t>
      </w:r>
      <w:proofErr w:type="spellEnd"/>
      <w:r w:rsidRPr="007F34A0">
        <w:rPr>
          <w:sz w:val="24"/>
          <w:szCs w:val="24"/>
          <w:lang w:val="de-DE"/>
        </w:rPr>
        <w:t xml:space="preserve"> der alten Mamsell, ” “Die Reichsgräfin Gisela,” in </w:t>
      </w:r>
      <w:r w:rsidRPr="007F34A0">
        <w:rPr>
          <w:i/>
          <w:iCs/>
          <w:sz w:val="24"/>
          <w:szCs w:val="24"/>
          <w:lang w:val="de-DE"/>
        </w:rPr>
        <w:t>Blätter für literarische Unterhaltung</w:t>
      </w:r>
      <w:r w:rsidRPr="007F34A0">
        <w:rPr>
          <w:sz w:val="24"/>
          <w:szCs w:val="24"/>
          <w:lang w:val="de-DE"/>
        </w:rPr>
        <w:t xml:space="preserve">, no. 19 (5 May 1870): 289-293. </w:t>
      </w:r>
      <w:proofErr w:type="spellStart"/>
      <w:r w:rsidRPr="007F34A0">
        <w:rPr>
          <w:sz w:val="24"/>
          <w:szCs w:val="24"/>
          <w:lang w:val="de-DE"/>
        </w:rPr>
        <w:t>repr</w:t>
      </w:r>
      <w:proofErr w:type="spellEnd"/>
      <w:r w:rsidRPr="007F34A0">
        <w:rPr>
          <w:sz w:val="24"/>
          <w:szCs w:val="24"/>
          <w:lang w:val="de-DE"/>
        </w:rPr>
        <w:t xml:space="preserve">. In </w:t>
      </w:r>
      <w:r w:rsidRPr="007F34A0">
        <w:rPr>
          <w:i/>
          <w:iCs/>
          <w:sz w:val="24"/>
          <w:szCs w:val="24"/>
          <w:lang w:val="de-DE"/>
        </w:rPr>
        <w:t>Deutschsprachige Literaturkritik1870-1914: Eine Dokumentation</w:t>
      </w:r>
      <w:r w:rsidRPr="007F34A0">
        <w:rPr>
          <w:sz w:val="24"/>
          <w:szCs w:val="24"/>
          <w:lang w:val="de-DE"/>
        </w:rPr>
        <w:t xml:space="preserve">, </w:t>
      </w:r>
      <w:proofErr w:type="spellStart"/>
      <w:r w:rsidRPr="007F34A0">
        <w:rPr>
          <w:sz w:val="24"/>
          <w:szCs w:val="24"/>
          <w:lang w:val="de-DE"/>
        </w:rPr>
        <w:t>ed</w:t>
      </w:r>
      <w:proofErr w:type="spellEnd"/>
      <w:r w:rsidRPr="007F34A0">
        <w:rPr>
          <w:sz w:val="24"/>
          <w:szCs w:val="24"/>
          <w:lang w:val="de-DE"/>
        </w:rPr>
        <w:t xml:space="preserve">, </w:t>
      </w:r>
      <w:proofErr w:type="spellStart"/>
      <w:r w:rsidRPr="007F34A0">
        <w:rPr>
          <w:sz w:val="24"/>
          <w:szCs w:val="24"/>
          <w:lang w:val="de-DE"/>
        </w:rPr>
        <w:t>by</w:t>
      </w:r>
      <w:proofErr w:type="spellEnd"/>
      <w:r w:rsidRPr="007F34A0">
        <w:rPr>
          <w:sz w:val="24"/>
          <w:szCs w:val="24"/>
          <w:lang w:val="de-DE"/>
        </w:rPr>
        <w:t xml:space="preserve"> Helmut Kreuzer </w:t>
      </w:r>
      <w:proofErr w:type="spellStart"/>
      <w:r w:rsidRPr="007F34A0">
        <w:rPr>
          <w:sz w:val="24"/>
          <w:szCs w:val="24"/>
          <w:lang w:val="de-DE"/>
        </w:rPr>
        <w:t>with</w:t>
      </w:r>
      <w:proofErr w:type="spellEnd"/>
      <w:r w:rsidRPr="007F34A0">
        <w:rPr>
          <w:sz w:val="24"/>
          <w:szCs w:val="24"/>
          <w:lang w:val="de-DE"/>
        </w:rPr>
        <w:t xml:space="preserve"> </w:t>
      </w:r>
      <w:proofErr w:type="spellStart"/>
      <w:r w:rsidRPr="007F34A0">
        <w:rPr>
          <w:sz w:val="24"/>
          <w:szCs w:val="24"/>
          <w:lang w:val="de-DE"/>
        </w:rPr>
        <w:t>the</w:t>
      </w:r>
      <w:proofErr w:type="spellEnd"/>
      <w:r w:rsidRPr="007F34A0">
        <w:rPr>
          <w:sz w:val="24"/>
          <w:szCs w:val="24"/>
          <w:lang w:val="de-DE"/>
        </w:rPr>
        <w:t xml:space="preserve"> </w:t>
      </w:r>
      <w:proofErr w:type="spellStart"/>
      <w:r w:rsidRPr="007F34A0">
        <w:rPr>
          <w:sz w:val="24"/>
          <w:szCs w:val="24"/>
          <w:lang w:val="de-DE"/>
        </w:rPr>
        <w:t>asssistance</w:t>
      </w:r>
      <w:proofErr w:type="spellEnd"/>
      <w:r w:rsidRPr="007F34A0">
        <w:rPr>
          <w:sz w:val="24"/>
          <w:szCs w:val="24"/>
          <w:lang w:val="de-DE"/>
        </w:rPr>
        <w:t xml:space="preserve"> of Doris Rosenstein, 3 </w:t>
      </w:r>
      <w:proofErr w:type="spellStart"/>
      <w:r w:rsidRPr="007F34A0">
        <w:rPr>
          <w:sz w:val="24"/>
          <w:szCs w:val="24"/>
          <w:lang w:val="de-DE"/>
        </w:rPr>
        <w:t>vols</w:t>
      </w:r>
      <w:proofErr w:type="spellEnd"/>
      <w:r w:rsidRPr="007F34A0">
        <w:rPr>
          <w:sz w:val="24"/>
          <w:szCs w:val="24"/>
          <w:lang w:val="de-DE"/>
        </w:rPr>
        <w:t xml:space="preserve">. </w:t>
      </w:r>
      <w:r w:rsidRPr="007F34A0">
        <w:rPr>
          <w:sz w:val="24"/>
          <w:szCs w:val="24"/>
        </w:rPr>
        <w:t>(Frankfurt am Main: Peter Lang, 2006). 1:43</w:t>
      </w:r>
      <w:proofErr w:type="gramStart"/>
      <w:r w:rsidRPr="007F34A0">
        <w:rPr>
          <w:sz w:val="24"/>
          <w:szCs w:val="24"/>
        </w:rPr>
        <w:t>;40</w:t>
      </w:r>
      <w:proofErr w:type="gramEnd"/>
      <w:r w:rsidRPr="007F34A0">
        <w:rPr>
          <w:sz w:val="24"/>
          <w:szCs w:val="24"/>
        </w:rPr>
        <w:t>-48, here 44.</w:t>
      </w:r>
    </w:p>
  </w:endnote>
  <w:endnote w:id="8">
    <w:p w:rsidR="0002003C" w:rsidRPr="007F34A0" w:rsidRDefault="0002003C" w:rsidP="008235C1">
      <w:pPr>
        <w:pStyle w:val="EndnoteText"/>
        <w:spacing w:line="480" w:lineRule="auto"/>
        <w:rPr>
          <w:i/>
          <w:iCs/>
          <w:sz w:val="24"/>
        </w:rPr>
      </w:pPr>
      <w:r w:rsidRPr="007F34A0">
        <w:rPr>
          <w:rStyle w:val="EndnoteReference"/>
          <w:sz w:val="24"/>
        </w:rPr>
        <w:endnoteRef/>
      </w:r>
      <w:r w:rsidRPr="007F34A0">
        <w:rPr>
          <w:sz w:val="24"/>
        </w:rPr>
        <w:t xml:space="preserve"> Ll. 23-28 of xxviii. Lied of </w:t>
      </w:r>
      <w:proofErr w:type="spellStart"/>
      <w:r w:rsidRPr="007F34A0">
        <w:rPr>
          <w:i/>
          <w:iCs/>
          <w:sz w:val="24"/>
        </w:rPr>
        <w:t>Frauendienst</w:t>
      </w:r>
      <w:proofErr w:type="spellEnd"/>
      <w:r w:rsidRPr="007F34A0">
        <w:rPr>
          <w:i/>
          <w:iCs/>
          <w:sz w:val="24"/>
        </w:rPr>
        <w:t>.</w:t>
      </w:r>
    </w:p>
  </w:endnote>
  <w:endnote w:id="9">
    <w:p w:rsidR="0002003C" w:rsidRPr="008235C1" w:rsidRDefault="0002003C" w:rsidP="004F1F95">
      <w:pPr>
        <w:widowControl w:val="0"/>
        <w:autoSpaceDE w:val="0"/>
        <w:autoSpaceDN w:val="0"/>
        <w:adjustRightInd w:val="0"/>
        <w:spacing w:line="480" w:lineRule="auto"/>
        <w:rPr>
          <w:rFonts w:cs="Helvetica"/>
        </w:rPr>
      </w:pPr>
      <w:r w:rsidRPr="008235C1">
        <w:rPr>
          <w:rStyle w:val="EndnoteReference"/>
        </w:rPr>
        <w:endnoteRef/>
      </w:r>
      <w:r w:rsidRPr="008235C1">
        <w:t xml:space="preserve"> “</w:t>
      </w:r>
      <w:r w:rsidRPr="008235C1">
        <w:rPr>
          <w:rFonts w:cs="Helvetica"/>
        </w:rPr>
        <w:t xml:space="preserve">Old </w:t>
      </w:r>
      <w:proofErr w:type="spellStart"/>
      <w:r w:rsidRPr="008235C1">
        <w:rPr>
          <w:rFonts w:cs="Helvetica"/>
        </w:rPr>
        <w:t>Mam’selle’s</w:t>
      </w:r>
      <w:proofErr w:type="spellEnd"/>
      <w:r w:rsidRPr="008235C1">
        <w:rPr>
          <w:rFonts w:cs="Helvetica"/>
        </w:rPr>
        <w:t xml:space="preserve"> Secret,” </w:t>
      </w:r>
      <w:r w:rsidRPr="008235C1">
        <w:rPr>
          <w:rFonts w:cs="Helvetica"/>
          <w:i/>
        </w:rPr>
        <w:t>Moving Picture World</w:t>
      </w:r>
      <w:r w:rsidRPr="008235C1">
        <w:rPr>
          <w:rFonts w:cs="Helvetica"/>
        </w:rPr>
        <w:t xml:space="preserve"> (7 December 1912): 1012; “Old </w:t>
      </w:r>
      <w:proofErr w:type="spellStart"/>
      <w:r w:rsidRPr="008235C1">
        <w:rPr>
          <w:rFonts w:cs="Helvetica"/>
        </w:rPr>
        <w:t>Mam'selle’s</w:t>
      </w:r>
      <w:proofErr w:type="spellEnd"/>
      <w:r w:rsidRPr="008235C1">
        <w:rPr>
          <w:rFonts w:cs="Helvetica"/>
        </w:rPr>
        <w:t xml:space="preserve"> Secret,” </w:t>
      </w:r>
      <w:r w:rsidRPr="008235C1">
        <w:rPr>
          <w:rFonts w:cs="Helvetica"/>
          <w:i/>
        </w:rPr>
        <w:t>Motion Picture News</w:t>
      </w:r>
      <w:r w:rsidRPr="008235C1">
        <w:rPr>
          <w:rFonts w:cs="Helvetica"/>
        </w:rPr>
        <w:t xml:space="preserve"> (23 Nov 1912): 31-33. </w:t>
      </w:r>
    </w:p>
  </w:endnote>
  <w:endnote w:id="10">
    <w:p w:rsidR="0002003C" w:rsidRDefault="0002003C">
      <w:pPr>
        <w:pStyle w:val="EndnoteText"/>
      </w:pPr>
      <w:r>
        <w:rPr>
          <w:rStyle w:val="EndnoteReference"/>
        </w:rPr>
        <w:endnoteRef/>
      </w:r>
      <w:r>
        <w:t xml:space="preserve"> Cite introduction.</w:t>
      </w:r>
    </w:p>
  </w:endnote>
  <w:endnote w:id="11">
    <w:p w:rsidR="0002003C" w:rsidRPr="0062525B" w:rsidRDefault="0002003C" w:rsidP="0062525B">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Henry A. </w:t>
      </w:r>
      <w:proofErr w:type="spellStart"/>
      <w:r w:rsidRPr="007F34A0">
        <w:rPr>
          <w:sz w:val="24"/>
          <w:szCs w:val="24"/>
        </w:rPr>
        <w:t>Pochmann</w:t>
      </w:r>
      <w:proofErr w:type="spellEnd"/>
      <w:r w:rsidRPr="007F34A0">
        <w:rPr>
          <w:sz w:val="24"/>
          <w:szCs w:val="24"/>
        </w:rPr>
        <w:t xml:space="preserve">, </w:t>
      </w:r>
      <w:r w:rsidRPr="007F34A0">
        <w:rPr>
          <w:i/>
          <w:iCs/>
          <w:sz w:val="24"/>
          <w:szCs w:val="24"/>
        </w:rPr>
        <w:t>German Culture in America: Philosophical and Literary Influences 1600-1900</w:t>
      </w:r>
      <w:r w:rsidRPr="007F34A0">
        <w:rPr>
          <w:sz w:val="24"/>
          <w:szCs w:val="24"/>
        </w:rPr>
        <w:t xml:space="preserve"> (Madison: University of Wisconsin Press, 1957), 346-47. In his brief summary of his data, Bayard Quincy Morgan remarks on the “insatiable appetite of the American public for narrative literature” satisfied by </w:t>
      </w:r>
      <w:proofErr w:type="spellStart"/>
      <w:r w:rsidRPr="007F34A0">
        <w:rPr>
          <w:sz w:val="24"/>
          <w:szCs w:val="24"/>
        </w:rPr>
        <w:t>Heimburg</w:t>
      </w:r>
      <w:proofErr w:type="spellEnd"/>
      <w:r w:rsidRPr="007F34A0">
        <w:rPr>
          <w:sz w:val="24"/>
          <w:szCs w:val="24"/>
        </w:rPr>
        <w:t xml:space="preserve">, </w:t>
      </w:r>
      <w:proofErr w:type="spellStart"/>
      <w:r w:rsidRPr="007F34A0">
        <w:rPr>
          <w:sz w:val="24"/>
          <w:szCs w:val="24"/>
        </w:rPr>
        <w:t>Marlitt</w:t>
      </w:r>
      <w:proofErr w:type="spellEnd"/>
      <w:r w:rsidRPr="007F34A0">
        <w:rPr>
          <w:sz w:val="24"/>
          <w:szCs w:val="24"/>
        </w:rPr>
        <w:t xml:space="preserve">, and Werner and others. </w:t>
      </w:r>
      <w:r w:rsidRPr="007F34A0">
        <w:rPr>
          <w:i/>
          <w:iCs/>
          <w:sz w:val="24"/>
          <w:szCs w:val="24"/>
        </w:rPr>
        <w:t>Bibliography of German Literature in English Translation</w:t>
      </w:r>
      <w:r w:rsidRPr="007F34A0">
        <w:rPr>
          <w:sz w:val="24"/>
          <w:szCs w:val="24"/>
        </w:rPr>
        <w:t xml:space="preserve">, Studies in Language and Literature 16 </w:t>
      </w:r>
      <w:r w:rsidRPr="0062525B">
        <w:rPr>
          <w:sz w:val="24"/>
          <w:szCs w:val="24"/>
        </w:rPr>
        <w:t>(Madison, WI: 1922), 17.</w:t>
      </w:r>
    </w:p>
  </w:endnote>
  <w:endnote w:id="12">
    <w:p w:rsidR="0002003C" w:rsidRPr="0062525B" w:rsidRDefault="0002003C" w:rsidP="0062525B">
      <w:pPr>
        <w:pStyle w:val="EndnoteText"/>
        <w:spacing w:line="480" w:lineRule="auto"/>
        <w:rPr>
          <w:sz w:val="24"/>
        </w:rPr>
      </w:pPr>
      <w:r w:rsidRPr="0062525B">
        <w:rPr>
          <w:rStyle w:val="EndnoteReference"/>
          <w:sz w:val="24"/>
        </w:rPr>
        <w:endnoteRef/>
      </w:r>
      <w:r w:rsidRPr="0062525B">
        <w:rPr>
          <w:sz w:val="24"/>
        </w:rPr>
        <w:t xml:space="preserve"> Mark Twain, “The Awful German Language,” in </w:t>
      </w:r>
      <w:r w:rsidRPr="0062525B">
        <w:rPr>
          <w:i/>
          <w:sz w:val="24"/>
        </w:rPr>
        <w:t>A Tramp Abroad</w:t>
      </w:r>
      <w:r w:rsidRPr="0062525B">
        <w:rPr>
          <w:sz w:val="24"/>
        </w:rPr>
        <w:t xml:space="preserve">, ed. Shelley Fisher </w:t>
      </w:r>
      <w:proofErr w:type="spellStart"/>
      <w:r w:rsidRPr="0062525B">
        <w:rPr>
          <w:sz w:val="24"/>
        </w:rPr>
        <w:t>Fishkin</w:t>
      </w:r>
      <w:proofErr w:type="spellEnd"/>
      <w:r w:rsidRPr="0062525B">
        <w:rPr>
          <w:sz w:val="24"/>
        </w:rPr>
        <w:t xml:space="preserve"> (New York: Oxford University Press, 1996), </w:t>
      </w:r>
      <w:proofErr w:type="gramStart"/>
      <w:r w:rsidRPr="0062525B">
        <w:rPr>
          <w:sz w:val="24"/>
        </w:rPr>
        <w:t>603</w:t>
      </w:r>
      <w:proofErr w:type="gramEnd"/>
      <w:r w:rsidRPr="0062525B">
        <w:rPr>
          <w:sz w:val="24"/>
        </w:rPr>
        <w:t>.</w:t>
      </w:r>
    </w:p>
  </w:endnote>
  <w:endnote w:id="13">
    <w:p w:rsidR="0002003C" w:rsidRPr="0062525B" w:rsidRDefault="0002003C" w:rsidP="0062525B">
      <w:pPr>
        <w:pStyle w:val="Heading1"/>
        <w:spacing w:before="0" w:beforeAutospacing="0" w:after="0" w:afterAutospacing="0" w:line="480" w:lineRule="auto"/>
        <w:ind w:right="-360"/>
        <w:rPr>
          <w:b w:val="0"/>
          <w:bCs w:val="0"/>
          <w:sz w:val="24"/>
          <w:szCs w:val="24"/>
        </w:rPr>
      </w:pPr>
      <w:r w:rsidRPr="0062525B">
        <w:rPr>
          <w:rStyle w:val="EndnoteReference"/>
          <w:b w:val="0"/>
          <w:bCs w:val="0"/>
          <w:sz w:val="24"/>
          <w:szCs w:val="24"/>
        </w:rPr>
        <w:endnoteRef/>
      </w:r>
      <w:r w:rsidRPr="0062525B">
        <w:rPr>
          <w:b w:val="0"/>
          <w:bCs w:val="0"/>
          <w:sz w:val="24"/>
          <w:szCs w:val="24"/>
        </w:rPr>
        <w:t xml:space="preserve"> </w:t>
      </w:r>
      <w:proofErr w:type="gramStart"/>
      <w:r w:rsidRPr="0062525B">
        <w:rPr>
          <w:b w:val="0"/>
          <w:bCs w:val="0"/>
          <w:sz w:val="24"/>
          <w:szCs w:val="24"/>
        </w:rPr>
        <w:t>Agnes Hamilton to Alice Hamilton, 10 August 1881; Agnes Hamilton to Edith Trowbridge, 19 August 1895, respectively, Hamilton Family Papers, Schlesinger Library, Radcliffe Institute for Advanced Study, Harvard University.</w:t>
      </w:r>
      <w:proofErr w:type="gramEnd"/>
      <w:r w:rsidRPr="0062525B">
        <w:rPr>
          <w:b w:val="0"/>
          <w:bCs w:val="0"/>
          <w:sz w:val="24"/>
          <w:szCs w:val="24"/>
        </w:rPr>
        <w:t xml:space="preserve"> Agnes’s correspondent in the first of these, her cousin Alice, would be among the first North American women to audit classes at the University of Munich. Barbara </w:t>
      </w:r>
      <w:proofErr w:type="spellStart"/>
      <w:r w:rsidRPr="0062525B">
        <w:rPr>
          <w:b w:val="0"/>
          <w:bCs w:val="0"/>
          <w:sz w:val="24"/>
          <w:szCs w:val="24"/>
        </w:rPr>
        <w:t>Sicherman</w:t>
      </w:r>
      <w:proofErr w:type="spellEnd"/>
      <w:r w:rsidRPr="0062525B">
        <w:rPr>
          <w:b w:val="0"/>
          <w:bCs w:val="0"/>
          <w:sz w:val="24"/>
          <w:szCs w:val="24"/>
        </w:rPr>
        <w:t xml:space="preserve">, </w:t>
      </w:r>
      <w:r w:rsidRPr="0062525B">
        <w:rPr>
          <w:b w:val="0"/>
          <w:bCs w:val="0"/>
          <w:i/>
          <w:iCs/>
          <w:sz w:val="24"/>
          <w:szCs w:val="24"/>
        </w:rPr>
        <w:t>Alice Hamilton: A Life in Letters</w:t>
      </w:r>
      <w:r w:rsidRPr="0062525B">
        <w:rPr>
          <w:b w:val="0"/>
          <w:bCs w:val="0"/>
          <w:sz w:val="24"/>
          <w:szCs w:val="24"/>
        </w:rPr>
        <w:t xml:space="preserve"> (Cambridge, MA: Harvard University Press, 1984), 89. </w:t>
      </w:r>
    </w:p>
  </w:endnote>
  <w:endnote w:id="14">
    <w:p w:rsidR="0002003C" w:rsidRPr="0062525B" w:rsidRDefault="0002003C" w:rsidP="0062525B">
      <w:pPr>
        <w:pStyle w:val="EndnoteText"/>
        <w:spacing w:line="480" w:lineRule="auto"/>
        <w:ind w:right="-360"/>
        <w:rPr>
          <w:sz w:val="24"/>
          <w:szCs w:val="24"/>
        </w:rPr>
      </w:pPr>
      <w:r w:rsidRPr="0062525B">
        <w:rPr>
          <w:rStyle w:val="EndnoteReference"/>
          <w:sz w:val="24"/>
          <w:szCs w:val="24"/>
        </w:rPr>
        <w:endnoteRef/>
      </w:r>
      <w:r w:rsidRPr="0062525B">
        <w:rPr>
          <w:sz w:val="24"/>
          <w:szCs w:val="24"/>
        </w:rPr>
        <w:t xml:space="preserve"> Rev. of </w:t>
      </w:r>
      <w:r w:rsidRPr="0062525B">
        <w:rPr>
          <w:i/>
          <w:iCs/>
          <w:sz w:val="24"/>
          <w:szCs w:val="24"/>
        </w:rPr>
        <w:t xml:space="preserve">The Old </w:t>
      </w:r>
      <w:proofErr w:type="spellStart"/>
      <w:r w:rsidRPr="0062525B">
        <w:rPr>
          <w:i/>
          <w:iCs/>
          <w:sz w:val="24"/>
          <w:szCs w:val="24"/>
        </w:rPr>
        <w:t>Mam’selle’s</w:t>
      </w:r>
      <w:proofErr w:type="spellEnd"/>
      <w:r w:rsidRPr="0062525B">
        <w:rPr>
          <w:i/>
          <w:iCs/>
          <w:sz w:val="24"/>
          <w:szCs w:val="24"/>
        </w:rPr>
        <w:t xml:space="preserve"> Secret</w:t>
      </w:r>
      <w:r w:rsidRPr="0062525B">
        <w:rPr>
          <w:sz w:val="24"/>
          <w:szCs w:val="24"/>
        </w:rPr>
        <w:t xml:space="preserve">, by E. </w:t>
      </w:r>
      <w:proofErr w:type="spellStart"/>
      <w:r w:rsidRPr="0062525B">
        <w:rPr>
          <w:sz w:val="24"/>
          <w:szCs w:val="24"/>
        </w:rPr>
        <w:t>Marlitt</w:t>
      </w:r>
      <w:proofErr w:type="spellEnd"/>
      <w:r w:rsidRPr="0062525B">
        <w:rPr>
          <w:sz w:val="24"/>
          <w:szCs w:val="24"/>
        </w:rPr>
        <w:t xml:space="preserve">, </w:t>
      </w:r>
      <w:r w:rsidRPr="0062525B">
        <w:rPr>
          <w:i/>
          <w:iCs/>
          <w:sz w:val="24"/>
          <w:szCs w:val="24"/>
        </w:rPr>
        <w:t>Lippincott’s Magazine</w:t>
      </w:r>
      <w:r w:rsidRPr="0062525B">
        <w:rPr>
          <w:sz w:val="24"/>
          <w:szCs w:val="24"/>
        </w:rPr>
        <w:t xml:space="preserve"> 1 (1868): 680.</w:t>
      </w:r>
    </w:p>
  </w:endnote>
  <w:endnote w:id="15">
    <w:p w:rsidR="0002003C" w:rsidRPr="007F34A0" w:rsidRDefault="0002003C" w:rsidP="0062525B">
      <w:pPr>
        <w:pStyle w:val="EndnoteText"/>
        <w:spacing w:line="480" w:lineRule="auto"/>
        <w:rPr>
          <w:sz w:val="24"/>
        </w:rPr>
      </w:pPr>
      <w:r w:rsidRPr="0062525B">
        <w:rPr>
          <w:rStyle w:val="EndnoteReference"/>
          <w:sz w:val="24"/>
        </w:rPr>
        <w:endnoteRef/>
      </w:r>
      <w:r w:rsidRPr="0062525B">
        <w:rPr>
          <w:sz w:val="24"/>
        </w:rPr>
        <w:t xml:space="preserve"> The</w:t>
      </w:r>
      <w:r w:rsidRPr="007F34A0">
        <w:rPr>
          <w:sz w:val="24"/>
        </w:rPr>
        <w:t xml:space="preserve"> title page of an exemplar dated 1868 announces itself as the third edition, suggesting that the number of reprint editions is far greater than I have been able to confirm. E. </w:t>
      </w:r>
      <w:proofErr w:type="spellStart"/>
      <w:r w:rsidRPr="007F34A0">
        <w:rPr>
          <w:sz w:val="24"/>
        </w:rPr>
        <w:t>Marlitt</w:t>
      </w:r>
      <w:proofErr w:type="spellEnd"/>
      <w:r w:rsidRPr="007F34A0">
        <w:rPr>
          <w:sz w:val="24"/>
        </w:rPr>
        <w:t xml:space="preserve">, </w:t>
      </w:r>
      <w:r w:rsidRPr="007F34A0">
        <w:rPr>
          <w:i/>
          <w:sz w:val="24"/>
        </w:rPr>
        <w:t xml:space="preserve">The Old </w:t>
      </w:r>
      <w:proofErr w:type="spellStart"/>
      <w:r w:rsidRPr="007F34A0">
        <w:rPr>
          <w:i/>
          <w:sz w:val="24"/>
        </w:rPr>
        <w:t>Mam’selle’s</w:t>
      </w:r>
      <w:proofErr w:type="spellEnd"/>
      <w:r w:rsidRPr="007F34A0">
        <w:rPr>
          <w:i/>
          <w:sz w:val="24"/>
        </w:rPr>
        <w:t xml:space="preserve"> Secret</w:t>
      </w:r>
      <w:r w:rsidRPr="007F34A0">
        <w:rPr>
          <w:sz w:val="24"/>
        </w:rPr>
        <w:t>, trans. A. L. Wister, 3</w:t>
      </w:r>
      <w:r w:rsidRPr="007F34A0">
        <w:rPr>
          <w:sz w:val="24"/>
          <w:vertAlign w:val="superscript"/>
        </w:rPr>
        <w:t>rd</w:t>
      </w:r>
      <w:r w:rsidRPr="007F34A0">
        <w:rPr>
          <w:sz w:val="24"/>
        </w:rPr>
        <w:t xml:space="preserve"> edition (Philadelphia: J. B. Lippincott &amp; Co., 1868).</w:t>
      </w:r>
    </w:p>
  </w:endnote>
  <w:endnote w:id="16">
    <w:p w:rsidR="0002003C" w:rsidRPr="007F34A0" w:rsidRDefault="0002003C" w:rsidP="008235C1">
      <w:pPr>
        <w:spacing w:line="480" w:lineRule="auto"/>
        <w:ind w:right="-360"/>
      </w:pPr>
      <w:r w:rsidRPr="007F34A0">
        <w:rPr>
          <w:rStyle w:val="EndnoteReference"/>
        </w:rPr>
        <w:endnoteRef/>
      </w:r>
      <w:r w:rsidRPr="007F34A0">
        <w:t xml:space="preserve"> E. </w:t>
      </w:r>
      <w:proofErr w:type="spellStart"/>
      <w:r w:rsidRPr="007F34A0">
        <w:t>Marlitt</w:t>
      </w:r>
      <w:proofErr w:type="spellEnd"/>
      <w:r w:rsidRPr="007F34A0">
        <w:t xml:space="preserve">, </w:t>
      </w:r>
      <w:r w:rsidRPr="007F34A0">
        <w:rPr>
          <w:i/>
        </w:rPr>
        <w:t xml:space="preserve">The Old </w:t>
      </w:r>
      <w:proofErr w:type="spellStart"/>
      <w:r w:rsidRPr="007F34A0">
        <w:rPr>
          <w:i/>
        </w:rPr>
        <w:t>Mam’selle’s</w:t>
      </w:r>
      <w:proofErr w:type="spellEnd"/>
      <w:r w:rsidRPr="007F34A0">
        <w:rPr>
          <w:i/>
        </w:rPr>
        <w:t xml:space="preserve"> Secret</w:t>
      </w:r>
      <w:r w:rsidRPr="007F34A0">
        <w:t xml:space="preserve">, trans. A. L. Wister, Lippincott’s Series of Select Novels no. 75 (Philadelphia: J. P. Lippincott, 1887). On the importance of well-known antecedents to early film and the need for clarity, see, e.g., Charles Musser, </w:t>
      </w:r>
      <w:r w:rsidRPr="007F34A0">
        <w:rPr>
          <w:i/>
        </w:rPr>
        <w:t>The Emergence of Cinema: The American Screen to 1907</w:t>
      </w:r>
      <w:r w:rsidRPr="007F34A0">
        <w:t xml:space="preserve">, vol. 1 of </w:t>
      </w:r>
      <w:r w:rsidRPr="007F34A0">
        <w:rPr>
          <w:i/>
        </w:rPr>
        <w:t xml:space="preserve">History of the American Cinema </w:t>
      </w:r>
      <w:r w:rsidRPr="007F34A0">
        <w:t xml:space="preserve">(New York: Charles Scribner’s Sons, 1990), 349, 352-53, 383, and Eileen Bowser, </w:t>
      </w:r>
      <w:r w:rsidRPr="007F34A0">
        <w:rPr>
          <w:i/>
        </w:rPr>
        <w:t>The Transformation of Cinema 1907-1915</w:t>
      </w:r>
      <w:r w:rsidRPr="007F34A0">
        <w:t xml:space="preserve">, vol. 2 of </w:t>
      </w:r>
      <w:r w:rsidRPr="007F34A0">
        <w:rPr>
          <w:i/>
        </w:rPr>
        <w:t xml:space="preserve">History of the American Cinema </w:t>
      </w:r>
      <w:r w:rsidRPr="007F34A0">
        <w:t>(New York: Charles Scribner’s Sons, 1990), 42-43, 52-53.</w:t>
      </w:r>
    </w:p>
  </w:endnote>
  <w:endnote w:id="17">
    <w:p w:rsidR="0002003C" w:rsidRPr="007F34A0" w:rsidRDefault="0002003C" w:rsidP="008235C1">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w:t>
      </w:r>
      <w:r w:rsidRPr="007F34A0">
        <w:rPr>
          <w:i/>
          <w:iCs/>
          <w:sz w:val="24"/>
          <w:szCs w:val="24"/>
        </w:rPr>
        <w:t>Catalog of “A. L. A.” Library. 5000 Volume for a Popular Library Selected by the American Library Association and Shown at the World’s Columbian Exposition</w:t>
      </w:r>
      <w:r w:rsidRPr="007F34A0">
        <w:rPr>
          <w:sz w:val="24"/>
          <w:szCs w:val="24"/>
        </w:rPr>
        <w:t xml:space="preserve"> (Washington: Government Printing Office, 1893), 30, 36, books by E. </w:t>
      </w:r>
      <w:proofErr w:type="spellStart"/>
      <w:r w:rsidRPr="007F34A0">
        <w:rPr>
          <w:sz w:val="24"/>
          <w:szCs w:val="24"/>
        </w:rPr>
        <w:t>Marlitt</w:t>
      </w:r>
      <w:proofErr w:type="spellEnd"/>
      <w:r w:rsidRPr="007F34A0">
        <w:rPr>
          <w:sz w:val="24"/>
          <w:szCs w:val="24"/>
        </w:rPr>
        <w:t xml:space="preserve"> and translations by </w:t>
      </w:r>
      <w:proofErr w:type="spellStart"/>
      <w:r w:rsidRPr="007F34A0">
        <w:rPr>
          <w:sz w:val="24"/>
          <w:szCs w:val="24"/>
        </w:rPr>
        <w:t>Annis</w:t>
      </w:r>
      <w:proofErr w:type="spellEnd"/>
      <w:r w:rsidRPr="007F34A0">
        <w:rPr>
          <w:sz w:val="24"/>
          <w:szCs w:val="24"/>
        </w:rPr>
        <w:t xml:space="preserve"> Lee Wister, respectively.</w:t>
      </w:r>
    </w:p>
  </w:endnote>
  <w:endnote w:id="18">
    <w:p w:rsidR="0002003C" w:rsidRPr="007F34A0" w:rsidRDefault="0002003C" w:rsidP="008235C1">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Charles Dudley Warner, ed., “Old </w:t>
      </w:r>
      <w:proofErr w:type="spellStart"/>
      <w:r w:rsidRPr="007F34A0">
        <w:rPr>
          <w:sz w:val="24"/>
          <w:szCs w:val="24"/>
        </w:rPr>
        <w:t>Mamselle’s</w:t>
      </w:r>
      <w:proofErr w:type="spellEnd"/>
      <w:r w:rsidRPr="007F34A0">
        <w:rPr>
          <w:sz w:val="24"/>
          <w:szCs w:val="24"/>
        </w:rPr>
        <w:t xml:space="preserve"> Secret,” </w:t>
      </w:r>
      <w:r w:rsidRPr="007F34A0">
        <w:rPr>
          <w:i/>
          <w:iCs/>
          <w:sz w:val="24"/>
          <w:szCs w:val="24"/>
        </w:rPr>
        <w:t>Library of the World’s Best Literature, Ancient and Modern</w:t>
      </w:r>
      <w:r w:rsidRPr="007F34A0">
        <w:rPr>
          <w:sz w:val="24"/>
          <w:szCs w:val="24"/>
        </w:rPr>
        <w:t>, 31 vols. (New York: J. A. Hill &amp; Company, 1896), 30: 180.</w:t>
      </w:r>
    </w:p>
  </w:endnote>
  <w:endnote w:id="19">
    <w:p w:rsidR="0002003C" w:rsidRPr="007F34A0" w:rsidRDefault="0002003C" w:rsidP="008235C1">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w:t>
      </w:r>
      <w:r w:rsidRPr="007F34A0">
        <w:rPr>
          <w:i/>
          <w:iCs/>
          <w:sz w:val="24"/>
          <w:szCs w:val="24"/>
        </w:rPr>
        <w:t xml:space="preserve">Classified Catalogue of the Carnegie Library of Pittsburgh 1895-1902 in Three Volumes </w:t>
      </w:r>
      <w:r w:rsidRPr="007F34A0">
        <w:rPr>
          <w:sz w:val="24"/>
          <w:szCs w:val="24"/>
        </w:rPr>
        <w:t>(Pittsburgh: Carnegie Library, 1907), 2: 1897.</w:t>
      </w:r>
    </w:p>
  </w:endnote>
  <w:endnote w:id="20">
    <w:p w:rsidR="0002003C" w:rsidRPr="00C460F3" w:rsidRDefault="0002003C" w:rsidP="00C460F3">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E. </w:t>
      </w:r>
      <w:proofErr w:type="spellStart"/>
      <w:r w:rsidRPr="007F34A0">
        <w:rPr>
          <w:sz w:val="24"/>
          <w:szCs w:val="24"/>
        </w:rPr>
        <w:t>Marlitt</w:t>
      </w:r>
      <w:proofErr w:type="spellEnd"/>
      <w:r w:rsidRPr="007F34A0">
        <w:rPr>
          <w:sz w:val="24"/>
          <w:szCs w:val="24"/>
        </w:rPr>
        <w:t xml:space="preserve">, </w:t>
      </w:r>
      <w:r w:rsidRPr="007F34A0">
        <w:rPr>
          <w:i/>
          <w:iCs/>
          <w:sz w:val="24"/>
          <w:szCs w:val="24"/>
        </w:rPr>
        <w:t xml:space="preserve">The Old </w:t>
      </w:r>
      <w:proofErr w:type="spellStart"/>
      <w:r w:rsidRPr="007F34A0">
        <w:rPr>
          <w:i/>
          <w:iCs/>
          <w:sz w:val="24"/>
          <w:szCs w:val="24"/>
        </w:rPr>
        <w:t>Mam’selle’s</w:t>
      </w:r>
      <w:proofErr w:type="spellEnd"/>
      <w:r w:rsidRPr="007F34A0">
        <w:rPr>
          <w:i/>
          <w:iCs/>
          <w:sz w:val="24"/>
          <w:szCs w:val="24"/>
        </w:rPr>
        <w:t xml:space="preserve"> Secret</w:t>
      </w:r>
      <w:r w:rsidRPr="007F34A0">
        <w:rPr>
          <w:sz w:val="24"/>
          <w:szCs w:val="24"/>
        </w:rPr>
        <w:t xml:space="preserve">, trans. Mary Stuart Smith, Seaside Pocketed </w:t>
      </w:r>
      <w:r w:rsidRPr="00C460F3">
        <w:rPr>
          <w:sz w:val="24"/>
          <w:szCs w:val="24"/>
        </w:rPr>
        <w:t>Edition 858 (New York: Munro, 1886).</w:t>
      </w:r>
    </w:p>
  </w:endnote>
  <w:endnote w:id="21">
    <w:p w:rsidR="0002003C" w:rsidRPr="00C460F3" w:rsidRDefault="0002003C" w:rsidP="00C460F3">
      <w:pPr>
        <w:pStyle w:val="EndnoteText"/>
        <w:spacing w:line="480" w:lineRule="auto"/>
        <w:rPr>
          <w:sz w:val="24"/>
        </w:rPr>
      </w:pPr>
      <w:r w:rsidRPr="00C460F3">
        <w:rPr>
          <w:rStyle w:val="EndnoteReference"/>
          <w:sz w:val="24"/>
        </w:rPr>
        <w:endnoteRef/>
      </w:r>
      <w:r w:rsidRPr="00C460F3">
        <w:rPr>
          <w:sz w:val="24"/>
        </w:rPr>
        <w:t xml:space="preserve">“Index to the Books of 1886,” </w:t>
      </w:r>
      <w:r w:rsidRPr="00C460F3">
        <w:rPr>
          <w:i/>
          <w:sz w:val="24"/>
        </w:rPr>
        <w:t>Publisher’s Weekly</w:t>
      </w:r>
      <w:r w:rsidRPr="00C460F3">
        <w:rPr>
          <w:sz w:val="24"/>
        </w:rPr>
        <w:t xml:space="preserve"> 31 Nos. 783-4 (January 29, 1887), 143.</w:t>
      </w:r>
    </w:p>
  </w:endnote>
  <w:endnote w:id="22">
    <w:p w:rsidR="0002003C" w:rsidRPr="00C460F3" w:rsidRDefault="0002003C" w:rsidP="00C460F3">
      <w:pPr>
        <w:pStyle w:val="EndnoteText"/>
        <w:spacing w:line="480" w:lineRule="auto"/>
        <w:rPr>
          <w:sz w:val="24"/>
        </w:rPr>
      </w:pPr>
      <w:r w:rsidRPr="00C460F3">
        <w:rPr>
          <w:rStyle w:val="EndnoteReference"/>
          <w:sz w:val="24"/>
        </w:rPr>
        <w:endnoteRef/>
      </w:r>
      <w:r>
        <w:rPr>
          <w:sz w:val="24"/>
        </w:rPr>
        <w:t xml:space="preserve"> </w:t>
      </w:r>
      <w:r w:rsidRPr="00C460F3">
        <w:rPr>
          <w:sz w:val="24"/>
        </w:rPr>
        <w:t xml:space="preserve">“Billy Phelps” and </w:t>
      </w:r>
      <w:r>
        <w:rPr>
          <w:sz w:val="24"/>
        </w:rPr>
        <w:t>“</w:t>
      </w:r>
      <w:r w:rsidRPr="00C460F3">
        <w:rPr>
          <w:sz w:val="24"/>
        </w:rPr>
        <w:t>Jessie A. Taylor</w:t>
      </w:r>
      <w:r>
        <w:rPr>
          <w:sz w:val="24"/>
        </w:rPr>
        <w:t>” probably are also female. The sex of four additional owners cannot be determined</w:t>
      </w:r>
      <w:r w:rsidRPr="00C460F3">
        <w:rPr>
          <w:sz w:val="24"/>
        </w:rPr>
        <w:t>.</w:t>
      </w:r>
    </w:p>
  </w:endnote>
  <w:endnote w:id="23">
    <w:p w:rsidR="0002003C" w:rsidRPr="00C460F3" w:rsidRDefault="0002003C" w:rsidP="00C460F3">
      <w:pPr>
        <w:pStyle w:val="EndnoteText"/>
        <w:spacing w:line="480" w:lineRule="auto"/>
        <w:rPr>
          <w:sz w:val="24"/>
        </w:rPr>
      </w:pPr>
      <w:r w:rsidRPr="00C460F3">
        <w:rPr>
          <w:rStyle w:val="EndnoteReference"/>
          <w:sz w:val="24"/>
        </w:rPr>
        <w:endnoteRef/>
      </w:r>
      <w:r w:rsidRPr="00C460F3">
        <w:rPr>
          <w:sz w:val="24"/>
        </w:rPr>
        <w:t xml:space="preserve"> See Lynne </w:t>
      </w:r>
      <w:proofErr w:type="spellStart"/>
      <w:r w:rsidRPr="00C460F3">
        <w:rPr>
          <w:sz w:val="24"/>
        </w:rPr>
        <w:t>Taltock</w:t>
      </w:r>
      <w:proofErr w:type="spellEnd"/>
      <w:r w:rsidRPr="00C460F3">
        <w:rPr>
          <w:sz w:val="24"/>
        </w:rPr>
        <w:t xml:space="preserve">, </w:t>
      </w:r>
      <w:proofErr w:type="spellStart"/>
      <w:r w:rsidRPr="00C460F3">
        <w:rPr>
          <w:sz w:val="24"/>
        </w:rPr>
        <w:t>xxxxx</w:t>
      </w:r>
      <w:proofErr w:type="spellEnd"/>
    </w:p>
  </w:endnote>
  <w:endnote w:id="24">
    <w:p w:rsidR="0002003C" w:rsidRPr="00C460F3" w:rsidRDefault="0002003C" w:rsidP="00C460F3">
      <w:pPr>
        <w:pStyle w:val="EndnoteText"/>
        <w:spacing w:line="480" w:lineRule="auto"/>
        <w:contextualSpacing/>
        <w:rPr>
          <w:sz w:val="24"/>
        </w:rPr>
      </w:pPr>
      <w:r w:rsidRPr="00C460F3">
        <w:rPr>
          <w:rStyle w:val="EndnoteReference"/>
          <w:sz w:val="24"/>
        </w:rPr>
        <w:endnoteRef/>
      </w:r>
      <w:r w:rsidRPr="00C460F3">
        <w:rPr>
          <w:sz w:val="24"/>
        </w:rPr>
        <w:t xml:space="preserve"> “What Middletown Read?” Muncie Public Library, Center for Middletown Studies, Ball State University Library, </w:t>
      </w:r>
      <w:hyperlink r:id="rId1" w:history="1">
        <w:r w:rsidRPr="00C460F3">
          <w:rPr>
            <w:rStyle w:val="Hyperlink"/>
            <w:sz w:val="24"/>
          </w:rPr>
          <w:t>http://www.bsu.edu/libraries/wmr/</w:t>
        </w:r>
      </w:hyperlink>
      <w:r w:rsidRPr="00C460F3">
        <w:rPr>
          <w:sz w:val="24"/>
        </w:rPr>
        <w:t>.</w:t>
      </w:r>
    </w:p>
  </w:endnote>
  <w:endnote w:id="25">
    <w:p w:rsidR="0002003C" w:rsidRPr="007F34A0" w:rsidRDefault="0002003C" w:rsidP="00C460F3">
      <w:pPr>
        <w:pStyle w:val="EndnoteText"/>
        <w:spacing w:line="480" w:lineRule="auto"/>
        <w:contextualSpacing/>
        <w:rPr>
          <w:sz w:val="24"/>
        </w:rPr>
      </w:pPr>
      <w:r w:rsidRPr="00C460F3">
        <w:rPr>
          <w:rStyle w:val="EndnoteReference"/>
          <w:sz w:val="24"/>
        </w:rPr>
        <w:endnoteRef/>
      </w:r>
      <w:r w:rsidRPr="00C460F3">
        <w:rPr>
          <w:sz w:val="24"/>
        </w:rPr>
        <w:t xml:space="preserve"> A “transaction” in the language of the Muncie database refers to a checkout of a book. The numbers cited were compiled with the help of Steven Pentecost, using data from “What Middletown Read?” Muncie Public Library, Center for Middletown Studies, Ball State</w:t>
      </w:r>
      <w:r w:rsidRPr="007F34A0">
        <w:rPr>
          <w:sz w:val="24"/>
        </w:rPr>
        <w:t xml:space="preserve"> University Library, </w:t>
      </w:r>
      <w:hyperlink r:id="rId2" w:history="1">
        <w:r w:rsidRPr="007F34A0">
          <w:rPr>
            <w:rStyle w:val="Hyperlink"/>
            <w:sz w:val="24"/>
          </w:rPr>
          <w:t>http://www.bsu.edu/libraries/wmr/</w:t>
        </w:r>
      </w:hyperlink>
      <w:r w:rsidRPr="007F34A0">
        <w:rPr>
          <w:sz w:val="24"/>
        </w:rPr>
        <w:t>.</w:t>
      </w:r>
    </w:p>
  </w:endnote>
  <w:endnote w:id="26">
    <w:p w:rsidR="0002003C" w:rsidRPr="007F34A0" w:rsidRDefault="0002003C" w:rsidP="001F5122">
      <w:pPr>
        <w:pStyle w:val="EndnoteText"/>
        <w:spacing w:line="480" w:lineRule="auto"/>
        <w:rPr>
          <w:sz w:val="24"/>
        </w:rPr>
      </w:pPr>
      <w:r w:rsidRPr="007F34A0">
        <w:rPr>
          <w:rStyle w:val="EndnoteReference"/>
          <w:sz w:val="24"/>
        </w:rPr>
        <w:endnoteRef/>
      </w:r>
      <w:r w:rsidRPr="007F34A0">
        <w:rPr>
          <w:sz w:val="24"/>
        </w:rPr>
        <w:t xml:space="preserve"> </w:t>
      </w:r>
      <w:proofErr w:type="gramStart"/>
      <w:r w:rsidRPr="007F34A0">
        <w:rPr>
          <w:sz w:val="24"/>
        </w:rPr>
        <w:t xml:space="preserve">Robert S. Lynd and Helen Merrell </w:t>
      </w:r>
      <w:proofErr w:type="spellStart"/>
      <w:r w:rsidRPr="007F34A0">
        <w:rPr>
          <w:sz w:val="24"/>
        </w:rPr>
        <w:t>lLynd</w:t>
      </w:r>
      <w:proofErr w:type="spellEnd"/>
      <w:r w:rsidRPr="007F34A0">
        <w:rPr>
          <w:sz w:val="24"/>
        </w:rPr>
        <w:t xml:space="preserve">, </w:t>
      </w:r>
      <w:r w:rsidRPr="007F34A0">
        <w:rPr>
          <w:i/>
          <w:sz w:val="24"/>
        </w:rPr>
        <w:t>Middletown: A Study in Contemporary American Culture</w:t>
      </w:r>
      <w:r w:rsidRPr="007F34A0">
        <w:rPr>
          <w:sz w:val="24"/>
        </w:rPr>
        <w:t xml:space="preserve"> (New York: Harcourt, Brace and Company, 1929), 238.</w:t>
      </w:r>
      <w:proofErr w:type="gramEnd"/>
    </w:p>
  </w:endnote>
  <w:endnote w:id="27">
    <w:p w:rsidR="0002003C" w:rsidRPr="007F34A0" w:rsidRDefault="0002003C" w:rsidP="00D3000E">
      <w:pPr>
        <w:pStyle w:val="EndnoteText"/>
        <w:spacing w:line="480" w:lineRule="auto"/>
        <w:rPr>
          <w:sz w:val="24"/>
        </w:rPr>
      </w:pPr>
      <w:r w:rsidRPr="007F34A0">
        <w:rPr>
          <w:rStyle w:val="EndnoteReference"/>
          <w:sz w:val="24"/>
        </w:rPr>
        <w:endnoteRef/>
      </w:r>
      <w:r w:rsidRPr="007F34A0">
        <w:rPr>
          <w:sz w:val="24"/>
        </w:rPr>
        <w:t xml:space="preserve"> The list excluded works by Bulwer, Dickens, George Eliot, Scott, and Thackeray “since they of course stand at the head of standard novelists, and the works of these alone would easily outrun the specified number of fifty titles.” “The Prize Question in Fiction,” </w:t>
      </w:r>
      <w:r w:rsidRPr="007F34A0">
        <w:rPr>
          <w:i/>
          <w:sz w:val="24"/>
        </w:rPr>
        <w:t xml:space="preserve">The Publishers’ </w:t>
      </w:r>
      <w:proofErr w:type="gramStart"/>
      <w:r w:rsidRPr="007F34A0">
        <w:rPr>
          <w:i/>
          <w:sz w:val="24"/>
        </w:rPr>
        <w:t xml:space="preserve">Weekly </w:t>
      </w:r>
      <w:r w:rsidRPr="007F34A0">
        <w:rPr>
          <w:sz w:val="24"/>
        </w:rPr>
        <w:t>,</w:t>
      </w:r>
      <w:proofErr w:type="gramEnd"/>
      <w:r w:rsidRPr="007F34A0">
        <w:rPr>
          <w:sz w:val="24"/>
        </w:rPr>
        <w:t xml:space="preserve"> no. 127 (20 May 1876): 633.</w:t>
      </w:r>
    </w:p>
  </w:endnote>
  <w:endnote w:id="28">
    <w:p w:rsidR="0002003C" w:rsidRPr="00807D1F" w:rsidRDefault="0002003C" w:rsidP="00807D1F">
      <w:pPr>
        <w:pStyle w:val="EndnoteText"/>
        <w:spacing w:line="480" w:lineRule="auto"/>
        <w:rPr>
          <w:sz w:val="24"/>
        </w:rPr>
      </w:pPr>
      <w:r w:rsidRPr="00807D1F">
        <w:rPr>
          <w:rStyle w:val="EndnoteReference"/>
          <w:sz w:val="24"/>
        </w:rPr>
        <w:endnoteRef/>
      </w:r>
      <w:r w:rsidRPr="00807D1F">
        <w:rPr>
          <w:sz w:val="24"/>
        </w:rPr>
        <w:t xml:space="preserve"> My work with topic modeling was inspired by my colleague Matt </w:t>
      </w:r>
      <w:proofErr w:type="spellStart"/>
      <w:r w:rsidRPr="00807D1F">
        <w:rPr>
          <w:sz w:val="24"/>
        </w:rPr>
        <w:t>Erlin’s</w:t>
      </w:r>
      <w:proofErr w:type="spellEnd"/>
      <w:r w:rsidRPr="00807D1F">
        <w:rPr>
          <w:sz w:val="24"/>
        </w:rPr>
        <w:t xml:space="preserve"> experimentation outlined in </w:t>
      </w:r>
      <w:proofErr w:type="spellStart"/>
      <w:r w:rsidRPr="00807D1F">
        <w:rPr>
          <w:sz w:val="24"/>
        </w:rPr>
        <w:t>xxxx</w:t>
      </w:r>
      <w:proofErr w:type="spellEnd"/>
      <w:r>
        <w:rPr>
          <w:sz w:val="24"/>
        </w:rPr>
        <w:t>,</w:t>
      </w:r>
      <w:r w:rsidRPr="00807D1F">
        <w:rPr>
          <w:sz w:val="24"/>
        </w:rPr>
        <w:t xml:space="preserve"> which I came to know through the</w:t>
      </w:r>
      <w:r>
        <w:rPr>
          <w:sz w:val="24"/>
        </w:rPr>
        <w:t xml:space="preserve"> summer program of the</w:t>
      </w:r>
      <w:r w:rsidRPr="00807D1F">
        <w:rPr>
          <w:sz w:val="24"/>
        </w:rPr>
        <w:t xml:space="preserve"> Humanities Digital Workshop </w:t>
      </w:r>
      <w:r>
        <w:rPr>
          <w:sz w:val="24"/>
        </w:rPr>
        <w:t xml:space="preserve">at Washington University </w:t>
      </w:r>
      <w:r w:rsidRPr="00807D1F">
        <w:rPr>
          <w:sz w:val="24"/>
        </w:rPr>
        <w:t>and our collaboration on the present volume</w:t>
      </w:r>
      <w:r>
        <w:rPr>
          <w:sz w:val="24"/>
        </w:rPr>
        <w:t>.  Catherine</w:t>
      </w:r>
      <w:r w:rsidRPr="00807D1F">
        <w:rPr>
          <w:sz w:val="24"/>
        </w:rPr>
        <w:t xml:space="preserve"> </w:t>
      </w:r>
      <w:proofErr w:type="spellStart"/>
      <w:r w:rsidRPr="00807D1F">
        <w:rPr>
          <w:sz w:val="24"/>
        </w:rPr>
        <w:t>Coquilette</w:t>
      </w:r>
      <w:proofErr w:type="spellEnd"/>
      <w:r w:rsidRPr="00807D1F">
        <w:rPr>
          <w:sz w:val="24"/>
        </w:rPr>
        <w:t xml:space="preserve">, an undergraduate intern in the Humanities Digital Workshop, deserves thanks for producing versions of the nineteenth-century novels on the 1876 that could be used for topic modeling. Steven Pentecost, </w:t>
      </w:r>
      <w:proofErr w:type="spellStart"/>
      <w:r w:rsidRPr="00807D1F">
        <w:rPr>
          <w:sz w:val="24"/>
        </w:rPr>
        <w:t>xxxx</w:t>
      </w:r>
      <w:proofErr w:type="spellEnd"/>
      <w:r w:rsidRPr="00807D1F">
        <w:rPr>
          <w:sz w:val="24"/>
        </w:rPr>
        <w:t>, both ran the data and, in response to our lengthy discussions of first</w:t>
      </w:r>
      <w:r>
        <w:rPr>
          <w:sz w:val="24"/>
        </w:rPr>
        <w:t xml:space="preserve"> unprepossessing</w:t>
      </w:r>
      <w:r w:rsidRPr="00807D1F">
        <w:rPr>
          <w:sz w:val="24"/>
        </w:rPr>
        <w:t xml:space="preserve"> results, conceived of the idea of measuring the affinities of the novels by the percentages </w:t>
      </w:r>
      <w:r>
        <w:rPr>
          <w:sz w:val="24"/>
        </w:rPr>
        <w:t>of topics that they contain.  Pentecost</w:t>
      </w:r>
      <w:r w:rsidRPr="00807D1F">
        <w:rPr>
          <w:sz w:val="24"/>
        </w:rPr>
        <w:t xml:space="preserve"> is responsible for figures 3-5, which illustrate these affinities, and for a larger and complete set of similar visualizations for xxx novels on the list.  These visualizations </w:t>
      </w:r>
      <w:r>
        <w:rPr>
          <w:sz w:val="24"/>
        </w:rPr>
        <w:t>and our</w:t>
      </w:r>
      <w:r w:rsidRPr="00807D1F">
        <w:rPr>
          <w:sz w:val="24"/>
        </w:rPr>
        <w:t xml:space="preserve"> discussion of the results of topic modeling significantly influenced my understanding of American reading preferences and</w:t>
      </w:r>
      <w:r>
        <w:rPr>
          <w:sz w:val="24"/>
        </w:rPr>
        <w:t xml:space="preserve"> enabled me to re-conceive </w:t>
      </w:r>
      <w:r w:rsidRPr="00807D1F">
        <w:rPr>
          <w:sz w:val="24"/>
        </w:rPr>
        <w:t>the story told by the various sets of data I had assembled</w:t>
      </w:r>
      <w:r>
        <w:rPr>
          <w:sz w:val="24"/>
        </w:rPr>
        <w:t xml:space="preserve"> with </w:t>
      </w:r>
      <w:proofErr w:type="spellStart"/>
      <w:r>
        <w:rPr>
          <w:sz w:val="24"/>
        </w:rPr>
        <w:t>assistence</w:t>
      </w:r>
      <w:proofErr w:type="spellEnd"/>
      <w:r>
        <w:rPr>
          <w:sz w:val="24"/>
        </w:rPr>
        <w:t xml:space="preserve"> from students named above in note 1</w:t>
      </w:r>
      <w:r w:rsidRPr="00807D1F">
        <w:rPr>
          <w:sz w:val="24"/>
        </w:rPr>
        <w:t xml:space="preserve">. </w:t>
      </w:r>
    </w:p>
  </w:endnote>
  <w:endnote w:id="29">
    <w:p w:rsidR="0002003C" w:rsidRPr="00807D1F" w:rsidRDefault="0002003C" w:rsidP="00807D1F">
      <w:pPr>
        <w:pStyle w:val="EndnoteText"/>
        <w:spacing w:line="480" w:lineRule="auto"/>
        <w:rPr>
          <w:sz w:val="24"/>
        </w:rPr>
      </w:pPr>
      <w:r w:rsidRPr="00807D1F">
        <w:rPr>
          <w:rStyle w:val="EndnoteReference"/>
          <w:sz w:val="24"/>
        </w:rPr>
        <w:endnoteRef/>
      </w:r>
      <w:r w:rsidRPr="00807D1F">
        <w:rPr>
          <w:sz w:val="24"/>
        </w:rPr>
        <w:t xml:space="preserve"> Topic modeling that incl</w:t>
      </w:r>
      <w:r>
        <w:rPr>
          <w:sz w:val="24"/>
        </w:rPr>
        <w:t xml:space="preserve">udes all three translations of </w:t>
      </w:r>
      <w:r w:rsidRPr="005E007F">
        <w:rPr>
          <w:i/>
          <w:sz w:val="24"/>
        </w:rPr>
        <w:t xml:space="preserve">The Old </w:t>
      </w:r>
      <w:proofErr w:type="spellStart"/>
      <w:r w:rsidRPr="005E007F">
        <w:rPr>
          <w:i/>
          <w:sz w:val="24"/>
        </w:rPr>
        <w:t>Mam’selle’s</w:t>
      </w:r>
      <w:proofErr w:type="spellEnd"/>
      <w:r w:rsidRPr="005E007F">
        <w:rPr>
          <w:i/>
          <w:sz w:val="24"/>
        </w:rPr>
        <w:t xml:space="preserve"> Secret</w:t>
      </w:r>
      <w:r w:rsidRPr="00807D1F">
        <w:rPr>
          <w:sz w:val="24"/>
        </w:rPr>
        <w:t xml:space="preserve"> positions all three translations close together, despite the fact that the language of the translators is discernibly diff</w:t>
      </w:r>
      <w:r>
        <w:rPr>
          <w:sz w:val="24"/>
        </w:rPr>
        <w:t>erent.  This experiment suggest</w:t>
      </w:r>
      <w:r w:rsidRPr="00807D1F">
        <w:rPr>
          <w:sz w:val="24"/>
        </w:rPr>
        <w:t xml:space="preserve">s that topic modeling, although it relies on linguistic collocations, identifies affinities at a deeper level than </w:t>
      </w:r>
      <w:r>
        <w:rPr>
          <w:sz w:val="24"/>
        </w:rPr>
        <w:t xml:space="preserve">mere </w:t>
      </w:r>
      <w:r w:rsidRPr="00807D1F">
        <w:rPr>
          <w:sz w:val="24"/>
        </w:rPr>
        <w:t xml:space="preserve">word choice. </w:t>
      </w:r>
    </w:p>
  </w:endnote>
  <w:endnote w:id="30">
    <w:p w:rsidR="0002003C" w:rsidRPr="007F34A0" w:rsidRDefault="0002003C" w:rsidP="00113CD3">
      <w:pPr>
        <w:pStyle w:val="EndnoteText"/>
        <w:spacing w:line="480" w:lineRule="auto"/>
        <w:rPr>
          <w:sz w:val="24"/>
        </w:rPr>
      </w:pPr>
      <w:r w:rsidRPr="00807D1F">
        <w:rPr>
          <w:rStyle w:val="EndnoteReference"/>
          <w:sz w:val="24"/>
        </w:rPr>
        <w:endnoteRef/>
      </w:r>
      <w:r w:rsidRPr="00807D1F">
        <w:rPr>
          <w:sz w:val="24"/>
        </w:rPr>
        <w:t xml:space="preserve"> Close</w:t>
      </w:r>
      <w:r w:rsidRPr="007F34A0">
        <w:rPr>
          <w:sz w:val="24"/>
        </w:rPr>
        <w:t xml:space="preserve"> reading easily identifies the influence of </w:t>
      </w:r>
      <w:r w:rsidRPr="007F34A0">
        <w:rPr>
          <w:i/>
          <w:sz w:val="24"/>
        </w:rPr>
        <w:t>Jane Eyre</w:t>
      </w:r>
      <w:r w:rsidRPr="007F34A0">
        <w:rPr>
          <w:sz w:val="24"/>
        </w:rPr>
        <w:t xml:space="preserve"> on </w:t>
      </w:r>
      <w:proofErr w:type="spellStart"/>
      <w:r w:rsidRPr="007F34A0">
        <w:rPr>
          <w:sz w:val="24"/>
        </w:rPr>
        <w:t>Marlitt’s</w:t>
      </w:r>
      <w:proofErr w:type="spellEnd"/>
      <w:r w:rsidRPr="007F34A0">
        <w:rPr>
          <w:sz w:val="24"/>
        </w:rPr>
        <w:t xml:space="preserve"> </w:t>
      </w:r>
      <w:r w:rsidRPr="007F34A0">
        <w:rPr>
          <w:i/>
          <w:sz w:val="24"/>
        </w:rPr>
        <w:t>Gold Elsie</w:t>
      </w:r>
      <w:r w:rsidRPr="007F34A0">
        <w:rPr>
          <w:sz w:val="24"/>
        </w:rPr>
        <w:t xml:space="preserve"> as well as her </w:t>
      </w:r>
      <w:r w:rsidRPr="007F34A0">
        <w:rPr>
          <w:i/>
          <w:sz w:val="24"/>
        </w:rPr>
        <w:t>Little Moorland Princess</w:t>
      </w:r>
      <w:r w:rsidRPr="007F34A0">
        <w:rPr>
          <w:sz w:val="24"/>
        </w:rPr>
        <w:t xml:space="preserve">. Topic modeling in turn places the </w:t>
      </w:r>
      <w:r w:rsidRPr="007F34A0">
        <w:rPr>
          <w:i/>
          <w:sz w:val="24"/>
        </w:rPr>
        <w:t>Moorland Princess</w:t>
      </w:r>
      <w:r w:rsidRPr="007F34A0">
        <w:rPr>
          <w:sz w:val="24"/>
        </w:rPr>
        <w:t xml:space="preserve"> closer to </w:t>
      </w:r>
      <w:r w:rsidRPr="007F34A0">
        <w:rPr>
          <w:i/>
          <w:sz w:val="24"/>
        </w:rPr>
        <w:t>Jane Eyre</w:t>
      </w:r>
      <w:r w:rsidRPr="007F34A0">
        <w:rPr>
          <w:sz w:val="24"/>
        </w:rPr>
        <w:t xml:space="preserve"> than the other </w:t>
      </w:r>
      <w:proofErr w:type="spellStart"/>
      <w:r w:rsidRPr="007F34A0">
        <w:rPr>
          <w:sz w:val="24"/>
        </w:rPr>
        <w:t>Marlitt</w:t>
      </w:r>
      <w:proofErr w:type="spellEnd"/>
      <w:r w:rsidRPr="007F34A0">
        <w:rPr>
          <w:sz w:val="24"/>
        </w:rPr>
        <w:t xml:space="preserve"> novels, and indeed there are many similarities. It, like </w:t>
      </w:r>
      <w:r w:rsidRPr="007F34A0">
        <w:rPr>
          <w:i/>
          <w:sz w:val="24"/>
        </w:rPr>
        <w:t>Jane Eyre</w:t>
      </w:r>
      <w:r w:rsidRPr="007F34A0">
        <w:rPr>
          <w:sz w:val="24"/>
        </w:rPr>
        <w:t xml:space="preserve"> is written in the first person, takes place in a mysterious house with secret rooms, and features a hero with compromised vision whose sternness is difficult to read.  Like Rochester, Herr Claudius also has taken on the care of children not his own and has been hideously deceived by a woman. The setting on the moor and the picture of a free-spirited brown-skinned young girl roaming on the moor also resonates with Emily </w:t>
      </w:r>
      <w:proofErr w:type="spellStart"/>
      <w:r w:rsidRPr="007F34A0">
        <w:rPr>
          <w:sz w:val="24"/>
        </w:rPr>
        <w:t>Brontë’s</w:t>
      </w:r>
      <w:proofErr w:type="spellEnd"/>
      <w:r w:rsidRPr="007F34A0">
        <w:rPr>
          <w:sz w:val="24"/>
        </w:rPr>
        <w:t xml:space="preserve"> </w:t>
      </w:r>
      <w:r w:rsidRPr="007F34A0">
        <w:rPr>
          <w:i/>
          <w:sz w:val="24"/>
        </w:rPr>
        <w:t>Wuthering Heights</w:t>
      </w:r>
      <w:r w:rsidRPr="007F34A0">
        <w:rPr>
          <w:sz w:val="24"/>
        </w:rPr>
        <w:t>.</w:t>
      </w:r>
    </w:p>
  </w:endnote>
  <w:endnote w:id="31">
    <w:p w:rsidR="0002003C" w:rsidRPr="0070036E" w:rsidRDefault="0002003C" w:rsidP="008E6C5B">
      <w:pPr>
        <w:pStyle w:val="EndnoteText"/>
        <w:spacing w:line="480" w:lineRule="auto"/>
        <w:rPr>
          <w:sz w:val="24"/>
        </w:rPr>
      </w:pPr>
      <w:r w:rsidRPr="0070036E">
        <w:rPr>
          <w:rStyle w:val="EndnoteReference"/>
          <w:sz w:val="24"/>
        </w:rPr>
        <w:endnoteRef/>
      </w:r>
      <w:r w:rsidRPr="0070036E">
        <w:rPr>
          <w:sz w:val="24"/>
        </w:rPr>
        <w:t xml:space="preserve"> In response to my questions about the Muncie data,</w:t>
      </w:r>
      <w:r>
        <w:rPr>
          <w:sz w:val="24"/>
        </w:rPr>
        <w:t xml:space="preserve"> Steven Pentecost undertook this</w:t>
      </w:r>
      <w:r w:rsidRPr="0070036E">
        <w:rPr>
          <w:sz w:val="24"/>
        </w:rPr>
        <w:t xml:space="preserve"> market bask</w:t>
      </w:r>
      <w:r>
        <w:rPr>
          <w:sz w:val="24"/>
        </w:rPr>
        <w:t>et analysis</w:t>
      </w:r>
      <w:r w:rsidRPr="0070036E">
        <w:rPr>
          <w:sz w:val="24"/>
        </w:rPr>
        <w:t>.  Figure 6 is his creation.</w:t>
      </w:r>
    </w:p>
  </w:endnote>
  <w:endnote w:id="32">
    <w:p w:rsidR="0002003C" w:rsidRPr="0066214C" w:rsidRDefault="0002003C" w:rsidP="00B5539F">
      <w:pPr>
        <w:pStyle w:val="EndnoteText"/>
        <w:spacing w:line="480" w:lineRule="auto"/>
        <w:rPr>
          <w:sz w:val="24"/>
        </w:rPr>
      </w:pPr>
      <w:r w:rsidRPr="0066214C">
        <w:rPr>
          <w:rStyle w:val="EndnoteReference"/>
          <w:sz w:val="24"/>
        </w:rPr>
        <w:endnoteRef/>
      </w:r>
      <w:r w:rsidRPr="0066214C">
        <w:rPr>
          <w:sz w:val="24"/>
        </w:rPr>
        <w:t xml:space="preserve"> </w:t>
      </w:r>
      <w:proofErr w:type="gramStart"/>
      <w:r w:rsidRPr="0066214C">
        <w:rPr>
          <w:sz w:val="24"/>
        </w:rPr>
        <w:t xml:space="preserve">Franco </w:t>
      </w:r>
      <w:proofErr w:type="spellStart"/>
      <w:r w:rsidRPr="0066214C">
        <w:rPr>
          <w:sz w:val="24"/>
        </w:rPr>
        <w:t>Moretti</w:t>
      </w:r>
      <w:proofErr w:type="spellEnd"/>
      <w:r w:rsidRPr="0066214C">
        <w:rPr>
          <w:sz w:val="24"/>
        </w:rPr>
        <w:t xml:space="preserve">, </w:t>
      </w:r>
      <w:r w:rsidRPr="0066214C">
        <w:rPr>
          <w:i/>
          <w:sz w:val="24"/>
        </w:rPr>
        <w:t>Atlas of the European Novel 1800-1900</w:t>
      </w:r>
      <w:r w:rsidRPr="0066214C">
        <w:rPr>
          <w:sz w:val="24"/>
        </w:rPr>
        <w:t xml:space="preserve"> (London: Verso, 1998).</w:t>
      </w:r>
      <w:proofErr w:type="gramEnd"/>
      <w:r w:rsidRPr="0066214C">
        <w:rPr>
          <w:sz w:val="24"/>
        </w:rPr>
        <w:t xml:space="preserve"> In this earlier work, </w:t>
      </w:r>
      <w:proofErr w:type="spellStart"/>
      <w:r w:rsidRPr="0066214C">
        <w:rPr>
          <w:sz w:val="24"/>
        </w:rPr>
        <w:t>Moretti</w:t>
      </w:r>
      <w:proofErr w:type="spellEnd"/>
      <w:r w:rsidRPr="0066214C">
        <w:rPr>
          <w:sz w:val="24"/>
        </w:rPr>
        <w:t xml:space="preserve"> examines international “narrative markets” and the diffusion French and British novels in nineteenth-century Europe, pp. 143-97.</w:t>
      </w:r>
    </w:p>
  </w:endnote>
  <w:endnote w:id="33">
    <w:p w:rsidR="0002003C" w:rsidRPr="007F34A0" w:rsidRDefault="0002003C" w:rsidP="00113CD3">
      <w:pPr>
        <w:pStyle w:val="EndnoteText"/>
        <w:spacing w:line="480" w:lineRule="auto"/>
        <w:ind w:right="-360"/>
        <w:rPr>
          <w:sz w:val="24"/>
          <w:szCs w:val="24"/>
        </w:rPr>
      </w:pPr>
      <w:r w:rsidRPr="007F34A0">
        <w:rPr>
          <w:rStyle w:val="EndnoteReference"/>
          <w:sz w:val="24"/>
        </w:rPr>
        <w:endnoteRef/>
      </w:r>
      <w:r w:rsidRPr="007F34A0">
        <w:rPr>
          <w:sz w:val="24"/>
        </w:rPr>
        <w:t xml:space="preserve"> </w:t>
      </w:r>
      <w:r w:rsidRPr="007F34A0">
        <w:rPr>
          <w:sz w:val="24"/>
          <w:szCs w:val="24"/>
        </w:rPr>
        <w:t xml:space="preserve">André </w:t>
      </w:r>
      <w:proofErr w:type="spellStart"/>
      <w:r w:rsidRPr="007F34A0">
        <w:rPr>
          <w:sz w:val="24"/>
          <w:szCs w:val="24"/>
        </w:rPr>
        <w:t>Lefevere</w:t>
      </w:r>
      <w:proofErr w:type="spellEnd"/>
      <w:r w:rsidRPr="007F34A0">
        <w:rPr>
          <w:sz w:val="24"/>
          <w:szCs w:val="24"/>
        </w:rPr>
        <w:t xml:space="preserve">, </w:t>
      </w:r>
      <w:r w:rsidRPr="007F34A0">
        <w:rPr>
          <w:i/>
          <w:iCs/>
          <w:sz w:val="24"/>
          <w:szCs w:val="24"/>
        </w:rPr>
        <w:t>Translation, Rewriting and the Manipulation of Literary Fame</w:t>
      </w:r>
      <w:r w:rsidRPr="007F34A0">
        <w:rPr>
          <w:sz w:val="24"/>
          <w:szCs w:val="24"/>
        </w:rPr>
        <w:t xml:space="preserve"> (London: </w:t>
      </w:r>
      <w:proofErr w:type="spellStart"/>
      <w:r w:rsidRPr="007F34A0">
        <w:rPr>
          <w:sz w:val="24"/>
          <w:szCs w:val="24"/>
        </w:rPr>
        <w:t>Routledge</w:t>
      </w:r>
      <w:proofErr w:type="spellEnd"/>
      <w:r w:rsidRPr="007F34A0">
        <w:rPr>
          <w:sz w:val="24"/>
          <w:szCs w:val="24"/>
        </w:rPr>
        <w:t>, 1992), 11-25.</w:t>
      </w:r>
    </w:p>
  </w:endnote>
  <w:endnote w:id="34">
    <w:p w:rsidR="0002003C" w:rsidRPr="007F34A0" w:rsidRDefault="0002003C" w:rsidP="00D31ACE">
      <w:pPr>
        <w:pStyle w:val="EndnoteText"/>
        <w:spacing w:line="480" w:lineRule="auto"/>
        <w:rPr>
          <w:sz w:val="24"/>
        </w:rPr>
      </w:pPr>
      <w:r w:rsidRPr="007F34A0">
        <w:rPr>
          <w:rStyle w:val="EndnoteReference"/>
          <w:sz w:val="24"/>
        </w:rPr>
        <w:endnoteRef/>
      </w:r>
      <w:r w:rsidRPr="007F34A0">
        <w:rPr>
          <w:sz w:val="24"/>
        </w:rPr>
        <w:t xml:space="preserve"> Sarah Wadsworth</w:t>
      </w:r>
      <w:r>
        <w:rPr>
          <w:sz w:val="24"/>
        </w:rPr>
        <w:t xml:space="preserve"> cites this episode from </w:t>
      </w:r>
      <w:r w:rsidRPr="005E007F">
        <w:rPr>
          <w:i/>
          <w:sz w:val="24"/>
        </w:rPr>
        <w:t xml:space="preserve">The Rise of Silas </w:t>
      </w:r>
      <w:proofErr w:type="spellStart"/>
      <w:r w:rsidRPr="005E007F">
        <w:rPr>
          <w:i/>
          <w:sz w:val="24"/>
        </w:rPr>
        <w:t>Lapham</w:t>
      </w:r>
      <w:proofErr w:type="spellEnd"/>
      <w:r>
        <w:rPr>
          <w:sz w:val="24"/>
        </w:rPr>
        <w:t xml:space="preserve"> in</w:t>
      </w:r>
      <w:r w:rsidRPr="007F34A0">
        <w:rPr>
          <w:sz w:val="24"/>
        </w:rPr>
        <w:t xml:space="preserve"> </w:t>
      </w:r>
      <w:proofErr w:type="spellStart"/>
      <w:r w:rsidRPr="00607F2D">
        <w:rPr>
          <w:i/>
          <w:sz w:val="24"/>
        </w:rPr>
        <w:t>In</w:t>
      </w:r>
      <w:proofErr w:type="spellEnd"/>
      <w:r w:rsidRPr="00607F2D">
        <w:rPr>
          <w:i/>
          <w:sz w:val="24"/>
        </w:rPr>
        <w:t xml:space="preserve"> the Company of Books: Literature and Its “Classes” in Nineteenth-Century America</w:t>
      </w:r>
      <w:r>
        <w:rPr>
          <w:sz w:val="24"/>
        </w:rPr>
        <w:t xml:space="preserve"> (Amherst: U of Massachusetts P, 2006), 107. </w:t>
      </w:r>
    </w:p>
  </w:endnote>
  <w:endnote w:id="35">
    <w:p w:rsidR="0002003C" w:rsidRPr="007F34A0" w:rsidRDefault="0002003C" w:rsidP="00D31ACE">
      <w:pPr>
        <w:pStyle w:val="EndnoteText"/>
        <w:spacing w:line="480" w:lineRule="auto"/>
        <w:rPr>
          <w:sz w:val="24"/>
        </w:rPr>
      </w:pPr>
      <w:r w:rsidRPr="007F34A0">
        <w:rPr>
          <w:rStyle w:val="EndnoteReference"/>
          <w:sz w:val="24"/>
        </w:rPr>
        <w:endnoteRef/>
      </w:r>
      <w:r w:rsidRPr="007F34A0">
        <w:rPr>
          <w:sz w:val="24"/>
        </w:rPr>
        <w:t xml:space="preserve">  In her study of the Sage Library in Osage, Iowa, in the same period, Christine Pawley similarly points out that many of the titles on the list of the books most often checked out were not new. One time best-sellers or near best-sellers were being read in Osage some “twenty, thirty, and even forty years later.” Christine Pawley, </w:t>
      </w:r>
      <w:r w:rsidRPr="007F34A0">
        <w:rPr>
          <w:i/>
          <w:sz w:val="24"/>
        </w:rPr>
        <w:t>Reading on the Middle Border: The Culture of Print in Late-Nineteenth-Century Osage, Iowa</w:t>
      </w:r>
      <w:r w:rsidRPr="007F34A0">
        <w:rPr>
          <w:sz w:val="24"/>
        </w:rPr>
        <w:t xml:space="preserve"> (Amherst, MA: U of </w:t>
      </w:r>
      <w:proofErr w:type="spellStart"/>
      <w:r w:rsidRPr="007F34A0">
        <w:rPr>
          <w:sz w:val="24"/>
        </w:rPr>
        <w:t>Massachuseets</w:t>
      </w:r>
      <w:proofErr w:type="spellEnd"/>
      <w:r w:rsidRPr="007F34A0">
        <w:rPr>
          <w:sz w:val="24"/>
        </w:rPr>
        <w:t xml:space="preserve"> P, 2001), 92-93.</w:t>
      </w:r>
    </w:p>
  </w:endnote>
  <w:endnote w:id="36">
    <w:p w:rsidR="0002003C" w:rsidRPr="007F34A0" w:rsidRDefault="0002003C" w:rsidP="0070036E">
      <w:pPr>
        <w:pStyle w:val="EndnoteText"/>
        <w:spacing w:line="480" w:lineRule="auto"/>
        <w:ind w:right="-360"/>
        <w:rPr>
          <w:sz w:val="24"/>
          <w:szCs w:val="24"/>
        </w:rPr>
      </w:pPr>
      <w:r w:rsidRPr="0070036E">
        <w:rPr>
          <w:rStyle w:val="EndnoteReference"/>
          <w:sz w:val="24"/>
          <w:szCs w:val="24"/>
        </w:rPr>
        <w:endnoteRef/>
      </w:r>
      <w:r w:rsidRPr="007F34A0">
        <w:rPr>
          <w:sz w:val="24"/>
          <w:szCs w:val="24"/>
        </w:rPr>
        <w:t xml:space="preserve"> </w:t>
      </w:r>
      <w:proofErr w:type="gramStart"/>
      <w:r w:rsidRPr="007F34A0">
        <w:rPr>
          <w:sz w:val="24"/>
          <w:szCs w:val="24"/>
        </w:rPr>
        <w:t xml:space="preserve">Rev. of </w:t>
      </w:r>
      <w:r w:rsidRPr="007F34A0">
        <w:rPr>
          <w:i/>
          <w:iCs/>
          <w:sz w:val="24"/>
          <w:szCs w:val="24"/>
        </w:rPr>
        <w:t>Gold Elsie</w:t>
      </w:r>
      <w:r w:rsidRPr="007F34A0">
        <w:rPr>
          <w:sz w:val="24"/>
          <w:szCs w:val="24"/>
        </w:rPr>
        <w:t xml:space="preserve">, by E. </w:t>
      </w:r>
      <w:proofErr w:type="spellStart"/>
      <w:r w:rsidRPr="007F34A0">
        <w:rPr>
          <w:sz w:val="24"/>
          <w:szCs w:val="24"/>
        </w:rPr>
        <w:t>Marlitt</w:t>
      </w:r>
      <w:proofErr w:type="spellEnd"/>
      <w:r w:rsidRPr="007F34A0">
        <w:rPr>
          <w:sz w:val="24"/>
          <w:szCs w:val="24"/>
        </w:rPr>
        <w:t xml:space="preserve">, </w:t>
      </w:r>
      <w:r w:rsidRPr="007F34A0">
        <w:rPr>
          <w:i/>
          <w:iCs/>
          <w:sz w:val="24"/>
          <w:szCs w:val="24"/>
        </w:rPr>
        <w:t>The British Quarterly Review.</w:t>
      </w:r>
      <w:proofErr w:type="gramEnd"/>
      <w:r w:rsidRPr="007F34A0">
        <w:rPr>
          <w:i/>
          <w:iCs/>
          <w:sz w:val="24"/>
          <w:szCs w:val="24"/>
        </w:rPr>
        <w:t xml:space="preserve"> American Edition</w:t>
      </w:r>
      <w:r w:rsidRPr="007F34A0">
        <w:rPr>
          <w:sz w:val="24"/>
          <w:szCs w:val="24"/>
        </w:rPr>
        <w:t xml:space="preserve"> 57 (April 1873): 300.</w:t>
      </w:r>
    </w:p>
  </w:endnote>
  <w:endnote w:id="37">
    <w:p w:rsidR="0002003C" w:rsidRPr="007F34A0" w:rsidRDefault="0002003C" w:rsidP="00540537">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William </w:t>
      </w:r>
      <w:proofErr w:type="spellStart"/>
      <w:r w:rsidRPr="007F34A0">
        <w:rPr>
          <w:sz w:val="24"/>
          <w:szCs w:val="24"/>
        </w:rPr>
        <w:t>Whiston</w:t>
      </w:r>
      <w:proofErr w:type="spellEnd"/>
      <w:r w:rsidRPr="007F34A0">
        <w:rPr>
          <w:sz w:val="24"/>
          <w:szCs w:val="24"/>
        </w:rPr>
        <w:t xml:space="preserve">, “Our Monthly Gossip. </w:t>
      </w:r>
      <w:proofErr w:type="spellStart"/>
      <w:r w:rsidRPr="007F34A0">
        <w:rPr>
          <w:sz w:val="24"/>
          <w:szCs w:val="24"/>
        </w:rPr>
        <w:t>Wilhelmine</w:t>
      </w:r>
      <w:proofErr w:type="spellEnd"/>
      <w:r w:rsidRPr="007F34A0">
        <w:rPr>
          <w:sz w:val="24"/>
          <w:szCs w:val="24"/>
        </w:rPr>
        <w:t xml:space="preserve"> von </w:t>
      </w:r>
      <w:proofErr w:type="spellStart"/>
      <w:r w:rsidRPr="007F34A0">
        <w:rPr>
          <w:sz w:val="24"/>
          <w:szCs w:val="24"/>
        </w:rPr>
        <w:t>Hillern</w:t>
      </w:r>
      <w:proofErr w:type="spellEnd"/>
      <w:r w:rsidRPr="007F34A0">
        <w:rPr>
          <w:sz w:val="24"/>
          <w:szCs w:val="24"/>
        </w:rPr>
        <w:t xml:space="preserve">,” </w:t>
      </w:r>
      <w:r w:rsidRPr="007F34A0">
        <w:rPr>
          <w:i/>
          <w:iCs/>
          <w:sz w:val="24"/>
          <w:szCs w:val="24"/>
        </w:rPr>
        <w:t>Lippincott’s Magazine of Popular Literature and Science</w:t>
      </w:r>
      <w:r w:rsidRPr="007F34A0">
        <w:rPr>
          <w:sz w:val="24"/>
          <w:szCs w:val="24"/>
        </w:rPr>
        <w:t>, 11 no. 22 (January 1873): 115.</w:t>
      </w:r>
    </w:p>
  </w:endnote>
  <w:endnote w:id="38">
    <w:p w:rsidR="0002003C" w:rsidRDefault="0002003C">
      <w:pPr>
        <w:pStyle w:val="EndnoteText"/>
      </w:pPr>
      <w:r>
        <w:rPr>
          <w:rStyle w:val="EndnoteReference"/>
        </w:rPr>
        <w:endnoteRef/>
      </w:r>
      <w:r>
        <w:t xml:space="preserve"> </w:t>
      </w:r>
      <w:proofErr w:type="spellStart"/>
      <w:proofErr w:type="gramStart"/>
      <w:r>
        <w:t>Marlitt</w:t>
      </w:r>
      <w:proofErr w:type="spellEnd"/>
      <w:r>
        <w:t xml:space="preserve">, </w:t>
      </w:r>
      <w:r w:rsidRPr="00036480">
        <w:rPr>
          <w:i/>
        </w:rPr>
        <w:t xml:space="preserve">Old </w:t>
      </w:r>
      <w:proofErr w:type="spellStart"/>
      <w:r w:rsidRPr="00036480">
        <w:rPr>
          <w:i/>
        </w:rPr>
        <w:t>Mam’selle’s</w:t>
      </w:r>
      <w:proofErr w:type="spellEnd"/>
      <w:r w:rsidRPr="00036480">
        <w:rPr>
          <w:i/>
        </w:rPr>
        <w:t xml:space="preserve"> Secret</w:t>
      </w:r>
      <w:r>
        <w:t>, 312.</w:t>
      </w:r>
      <w:proofErr w:type="gramEnd"/>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3C" w:rsidRDefault="0002003C"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003C" w:rsidRDefault="0002003C" w:rsidP="005E2D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3C" w:rsidRDefault="0002003C"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EC4">
      <w:rPr>
        <w:rStyle w:val="PageNumber"/>
        <w:noProof/>
      </w:rPr>
      <w:t>3</w:t>
    </w:r>
    <w:r>
      <w:rPr>
        <w:rStyle w:val="PageNumber"/>
      </w:rPr>
      <w:fldChar w:fldCharType="end"/>
    </w:r>
  </w:p>
  <w:p w:rsidR="0002003C" w:rsidRDefault="0002003C" w:rsidP="005E2D4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18EA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3C5214"/>
    <w:multiLevelType w:val="hybridMultilevel"/>
    <w:tmpl w:val="5C84A3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47BE9"/>
    <w:multiLevelType w:val="hybridMultilevel"/>
    <w:tmpl w:val="4AC85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insDel="0" w:formatting="0"/>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940863"/>
    <w:rsid w:val="00000CC6"/>
    <w:rsid w:val="000012B5"/>
    <w:rsid w:val="000052D9"/>
    <w:rsid w:val="000058E4"/>
    <w:rsid w:val="0001310A"/>
    <w:rsid w:val="0002003C"/>
    <w:rsid w:val="0002240E"/>
    <w:rsid w:val="00022C2A"/>
    <w:rsid w:val="00022F23"/>
    <w:rsid w:val="00034340"/>
    <w:rsid w:val="00036480"/>
    <w:rsid w:val="000368CB"/>
    <w:rsid w:val="0004413C"/>
    <w:rsid w:val="000455F1"/>
    <w:rsid w:val="00052823"/>
    <w:rsid w:val="00054765"/>
    <w:rsid w:val="00055601"/>
    <w:rsid w:val="00057CF9"/>
    <w:rsid w:val="000630F0"/>
    <w:rsid w:val="00064614"/>
    <w:rsid w:val="00065924"/>
    <w:rsid w:val="00066DAF"/>
    <w:rsid w:val="00076DD6"/>
    <w:rsid w:val="000926CB"/>
    <w:rsid w:val="0009370D"/>
    <w:rsid w:val="00094E21"/>
    <w:rsid w:val="0009693F"/>
    <w:rsid w:val="000A091A"/>
    <w:rsid w:val="000A168C"/>
    <w:rsid w:val="000A617F"/>
    <w:rsid w:val="000B01AE"/>
    <w:rsid w:val="000B3791"/>
    <w:rsid w:val="000C1F8F"/>
    <w:rsid w:val="000C6403"/>
    <w:rsid w:val="000C787F"/>
    <w:rsid w:val="000D2199"/>
    <w:rsid w:val="000D3DF9"/>
    <w:rsid w:val="000D6F88"/>
    <w:rsid w:val="000E0819"/>
    <w:rsid w:val="000E19BB"/>
    <w:rsid w:val="000E2671"/>
    <w:rsid w:val="000E305F"/>
    <w:rsid w:val="000E7707"/>
    <w:rsid w:val="0010228B"/>
    <w:rsid w:val="001022A0"/>
    <w:rsid w:val="00107935"/>
    <w:rsid w:val="00113CD3"/>
    <w:rsid w:val="00116AF5"/>
    <w:rsid w:val="001176F6"/>
    <w:rsid w:val="0012248C"/>
    <w:rsid w:val="00125228"/>
    <w:rsid w:val="00131B09"/>
    <w:rsid w:val="00134D15"/>
    <w:rsid w:val="0013564E"/>
    <w:rsid w:val="00137AA9"/>
    <w:rsid w:val="0014194A"/>
    <w:rsid w:val="00144E6D"/>
    <w:rsid w:val="00146777"/>
    <w:rsid w:val="00156246"/>
    <w:rsid w:val="00163275"/>
    <w:rsid w:val="00173585"/>
    <w:rsid w:val="00177E80"/>
    <w:rsid w:val="0018039B"/>
    <w:rsid w:val="00181EB4"/>
    <w:rsid w:val="00190B63"/>
    <w:rsid w:val="0019347B"/>
    <w:rsid w:val="00195739"/>
    <w:rsid w:val="001A1532"/>
    <w:rsid w:val="001A799F"/>
    <w:rsid w:val="001A7B84"/>
    <w:rsid w:val="001B04E5"/>
    <w:rsid w:val="001B3213"/>
    <w:rsid w:val="001B5B3D"/>
    <w:rsid w:val="001B7251"/>
    <w:rsid w:val="001C3804"/>
    <w:rsid w:val="001C729C"/>
    <w:rsid w:val="001D0144"/>
    <w:rsid w:val="001D3A0C"/>
    <w:rsid w:val="001D4662"/>
    <w:rsid w:val="001E1E4B"/>
    <w:rsid w:val="001E6A32"/>
    <w:rsid w:val="001F3E98"/>
    <w:rsid w:val="001F5122"/>
    <w:rsid w:val="001F5473"/>
    <w:rsid w:val="0020207C"/>
    <w:rsid w:val="00202793"/>
    <w:rsid w:val="00212B46"/>
    <w:rsid w:val="00224A36"/>
    <w:rsid w:val="002312C5"/>
    <w:rsid w:val="002407A7"/>
    <w:rsid w:val="0024423C"/>
    <w:rsid w:val="002544D3"/>
    <w:rsid w:val="00255BE0"/>
    <w:rsid w:val="002648FA"/>
    <w:rsid w:val="002676E0"/>
    <w:rsid w:val="002712A2"/>
    <w:rsid w:val="00271FCA"/>
    <w:rsid w:val="00275675"/>
    <w:rsid w:val="002804CF"/>
    <w:rsid w:val="00280E4E"/>
    <w:rsid w:val="00283809"/>
    <w:rsid w:val="00291658"/>
    <w:rsid w:val="00292F8B"/>
    <w:rsid w:val="0029554C"/>
    <w:rsid w:val="00296FA3"/>
    <w:rsid w:val="002A2BAC"/>
    <w:rsid w:val="002A5874"/>
    <w:rsid w:val="002B1833"/>
    <w:rsid w:val="002B23A1"/>
    <w:rsid w:val="002B31BA"/>
    <w:rsid w:val="002B7E48"/>
    <w:rsid w:val="002D1D09"/>
    <w:rsid w:val="002D3C50"/>
    <w:rsid w:val="002D73BF"/>
    <w:rsid w:val="002D7CD6"/>
    <w:rsid w:val="002E1D01"/>
    <w:rsid w:val="002E4BAC"/>
    <w:rsid w:val="002F35C1"/>
    <w:rsid w:val="00303785"/>
    <w:rsid w:val="0030665C"/>
    <w:rsid w:val="0031126B"/>
    <w:rsid w:val="00322554"/>
    <w:rsid w:val="003245E7"/>
    <w:rsid w:val="00327DF1"/>
    <w:rsid w:val="00330A5F"/>
    <w:rsid w:val="00332362"/>
    <w:rsid w:val="00333190"/>
    <w:rsid w:val="0033401B"/>
    <w:rsid w:val="00335A02"/>
    <w:rsid w:val="00340806"/>
    <w:rsid w:val="00343F7D"/>
    <w:rsid w:val="00360EB3"/>
    <w:rsid w:val="00361BB7"/>
    <w:rsid w:val="00365BF7"/>
    <w:rsid w:val="00375317"/>
    <w:rsid w:val="00375A95"/>
    <w:rsid w:val="00377F35"/>
    <w:rsid w:val="00384050"/>
    <w:rsid w:val="00384474"/>
    <w:rsid w:val="003967EC"/>
    <w:rsid w:val="003A3630"/>
    <w:rsid w:val="003B4C09"/>
    <w:rsid w:val="003B5403"/>
    <w:rsid w:val="003D08D3"/>
    <w:rsid w:val="003D594E"/>
    <w:rsid w:val="003D5BB8"/>
    <w:rsid w:val="003E5510"/>
    <w:rsid w:val="003F748E"/>
    <w:rsid w:val="003F7C76"/>
    <w:rsid w:val="00400681"/>
    <w:rsid w:val="00402C76"/>
    <w:rsid w:val="00411146"/>
    <w:rsid w:val="004149F2"/>
    <w:rsid w:val="00421F90"/>
    <w:rsid w:val="00422063"/>
    <w:rsid w:val="004247DB"/>
    <w:rsid w:val="0042739B"/>
    <w:rsid w:val="004307DB"/>
    <w:rsid w:val="004325F5"/>
    <w:rsid w:val="0043484A"/>
    <w:rsid w:val="00441FCA"/>
    <w:rsid w:val="0044773E"/>
    <w:rsid w:val="004555CF"/>
    <w:rsid w:val="00455CFF"/>
    <w:rsid w:val="00457CD9"/>
    <w:rsid w:val="00460733"/>
    <w:rsid w:val="004702EC"/>
    <w:rsid w:val="00474B6E"/>
    <w:rsid w:val="00476483"/>
    <w:rsid w:val="00480AEE"/>
    <w:rsid w:val="00487FE8"/>
    <w:rsid w:val="00492A8D"/>
    <w:rsid w:val="004A320F"/>
    <w:rsid w:val="004A3249"/>
    <w:rsid w:val="004A4141"/>
    <w:rsid w:val="004B1086"/>
    <w:rsid w:val="004B1AB3"/>
    <w:rsid w:val="004B34A2"/>
    <w:rsid w:val="004B3B53"/>
    <w:rsid w:val="004C5926"/>
    <w:rsid w:val="004D6C9A"/>
    <w:rsid w:val="004E27D2"/>
    <w:rsid w:val="004E43E1"/>
    <w:rsid w:val="004E7E00"/>
    <w:rsid w:val="004F1F95"/>
    <w:rsid w:val="004F298C"/>
    <w:rsid w:val="004F45D6"/>
    <w:rsid w:val="004F718C"/>
    <w:rsid w:val="004F7D66"/>
    <w:rsid w:val="00500FB9"/>
    <w:rsid w:val="00503BEB"/>
    <w:rsid w:val="005048CF"/>
    <w:rsid w:val="0050782F"/>
    <w:rsid w:val="00507F9E"/>
    <w:rsid w:val="0051062C"/>
    <w:rsid w:val="00515912"/>
    <w:rsid w:val="00515B19"/>
    <w:rsid w:val="00516FC1"/>
    <w:rsid w:val="0052087C"/>
    <w:rsid w:val="00522EED"/>
    <w:rsid w:val="00540537"/>
    <w:rsid w:val="00542B6D"/>
    <w:rsid w:val="00542E36"/>
    <w:rsid w:val="00550A8B"/>
    <w:rsid w:val="005601CC"/>
    <w:rsid w:val="00563091"/>
    <w:rsid w:val="00567735"/>
    <w:rsid w:val="00567CE0"/>
    <w:rsid w:val="005729F7"/>
    <w:rsid w:val="0058113B"/>
    <w:rsid w:val="00590E87"/>
    <w:rsid w:val="005931DE"/>
    <w:rsid w:val="005A3F81"/>
    <w:rsid w:val="005A564E"/>
    <w:rsid w:val="005A572F"/>
    <w:rsid w:val="005A6E94"/>
    <w:rsid w:val="005B2BD6"/>
    <w:rsid w:val="005C4AB3"/>
    <w:rsid w:val="005C7943"/>
    <w:rsid w:val="005D6B9E"/>
    <w:rsid w:val="005E007F"/>
    <w:rsid w:val="005E2D4B"/>
    <w:rsid w:val="005F2970"/>
    <w:rsid w:val="005F29D1"/>
    <w:rsid w:val="005F540E"/>
    <w:rsid w:val="005F5E18"/>
    <w:rsid w:val="006052B6"/>
    <w:rsid w:val="00605BB5"/>
    <w:rsid w:val="00607EEB"/>
    <w:rsid w:val="00607F2D"/>
    <w:rsid w:val="00612F83"/>
    <w:rsid w:val="0062525B"/>
    <w:rsid w:val="00626659"/>
    <w:rsid w:val="0063588E"/>
    <w:rsid w:val="0063618C"/>
    <w:rsid w:val="00636C7A"/>
    <w:rsid w:val="006371AD"/>
    <w:rsid w:val="00637595"/>
    <w:rsid w:val="00637B60"/>
    <w:rsid w:val="00640633"/>
    <w:rsid w:val="00645E2C"/>
    <w:rsid w:val="00651965"/>
    <w:rsid w:val="006601F1"/>
    <w:rsid w:val="006612B1"/>
    <w:rsid w:val="006629DE"/>
    <w:rsid w:val="006636D7"/>
    <w:rsid w:val="006639FD"/>
    <w:rsid w:val="00684584"/>
    <w:rsid w:val="0069340D"/>
    <w:rsid w:val="00693F5C"/>
    <w:rsid w:val="006A5422"/>
    <w:rsid w:val="006B27E6"/>
    <w:rsid w:val="006B5E98"/>
    <w:rsid w:val="006C08BF"/>
    <w:rsid w:val="006C1258"/>
    <w:rsid w:val="006C1C4B"/>
    <w:rsid w:val="006D4E79"/>
    <w:rsid w:val="006F76BC"/>
    <w:rsid w:val="0070036C"/>
    <w:rsid w:val="0070036E"/>
    <w:rsid w:val="00701398"/>
    <w:rsid w:val="00704983"/>
    <w:rsid w:val="00710702"/>
    <w:rsid w:val="00712BF1"/>
    <w:rsid w:val="007162A8"/>
    <w:rsid w:val="00720451"/>
    <w:rsid w:val="00721E1A"/>
    <w:rsid w:val="007239C8"/>
    <w:rsid w:val="00724A82"/>
    <w:rsid w:val="00724B0D"/>
    <w:rsid w:val="007268D1"/>
    <w:rsid w:val="00731D71"/>
    <w:rsid w:val="00731DA9"/>
    <w:rsid w:val="007375B0"/>
    <w:rsid w:val="00750569"/>
    <w:rsid w:val="0075140F"/>
    <w:rsid w:val="007548C5"/>
    <w:rsid w:val="007660E1"/>
    <w:rsid w:val="00772032"/>
    <w:rsid w:val="007726C3"/>
    <w:rsid w:val="0077407D"/>
    <w:rsid w:val="007755B3"/>
    <w:rsid w:val="007758F2"/>
    <w:rsid w:val="00776B1C"/>
    <w:rsid w:val="0077780E"/>
    <w:rsid w:val="007837CF"/>
    <w:rsid w:val="00790E41"/>
    <w:rsid w:val="00792520"/>
    <w:rsid w:val="00795244"/>
    <w:rsid w:val="007C1F7E"/>
    <w:rsid w:val="007C3158"/>
    <w:rsid w:val="007D1B5F"/>
    <w:rsid w:val="007D591F"/>
    <w:rsid w:val="007D7797"/>
    <w:rsid w:val="007E228B"/>
    <w:rsid w:val="007F08B3"/>
    <w:rsid w:val="007F1405"/>
    <w:rsid w:val="007F34A0"/>
    <w:rsid w:val="007F50A3"/>
    <w:rsid w:val="00800EDB"/>
    <w:rsid w:val="00801D41"/>
    <w:rsid w:val="008026AF"/>
    <w:rsid w:val="00807D1F"/>
    <w:rsid w:val="008101B7"/>
    <w:rsid w:val="00810406"/>
    <w:rsid w:val="00814EEF"/>
    <w:rsid w:val="00816A05"/>
    <w:rsid w:val="0081795D"/>
    <w:rsid w:val="008235C1"/>
    <w:rsid w:val="00824191"/>
    <w:rsid w:val="00824903"/>
    <w:rsid w:val="008251CA"/>
    <w:rsid w:val="0082695A"/>
    <w:rsid w:val="00834851"/>
    <w:rsid w:val="00835B8B"/>
    <w:rsid w:val="00837B08"/>
    <w:rsid w:val="008427C8"/>
    <w:rsid w:val="00842AED"/>
    <w:rsid w:val="0086051D"/>
    <w:rsid w:val="0086130A"/>
    <w:rsid w:val="00866B4A"/>
    <w:rsid w:val="0087011D"/>
    <w:rsid w:val="00870F14"/>
    <w:rsid w:val="00873815"/>
    <w:rsid w:val="0087554D"/>
    <w:rsid w:val="00880C59"/>
    <w:rsid w:val="008818C0"/>
    <w:rsid w:val="00882AA4"/>
    <w:rsid w:val="008956D0"/>
    <w:rsid w:val="008964E5"/>
    <w:rsid w:val="008B4CBC"/>
    <w:rsid w:val="008B7D78"/>
    <w:rsid w:val="008C5FEC"/>
    <w:rsid w:val="008D27CD"/>
    <w:rsid w:val="008D71B7"/>
    <w:rsid w:val="008E10A7"/>
    <w:rsid w:val="008E4634"/>
    <w:rsid w:val="008E4971"/>
    <w:rsid w:val="008E6576"/>
    <w:rsid w:val="008E6C5B"/>
    <w:rsid w:val="008F0E95"/>
    <w:rsid w:val="008F1E80"/>
    <w:rsid w:val="008F52CE"/>
    <w:rsid w:val="008F5330"/>
    <w:rsid w:val="0090738B"/>
    <w:rsid w:val="00910E46"/>
    <w:rsid w:val="009155CE"/>
    <w:rsid w:val="0091689D"/>
    <w:rsid w:val="00923EE0"/>
    <w:rsid w:val="009304EA"/>
    <w:rsid w:val="009320C7"/>
    <w:rsid w:val="009338E2"/>
    <w:rsid w:val="00940863"/>
    <w:rsid w:val="009477C2"/>
    <w:rsid w:val="00950964"/>
    <w:rsid w:val="00950A23"/>
    <w:rsid w:val="0095283B"/>
    <w:rsid w:val="009577E7"/>
    <w:rsid w:val="0096611C"/>
    <w:rsid w:val="00967207"/>
    <w:rsid w:val="00970987"/>
    <w:rsid w:val="00976911"/>
    <w:rsid w:val="00984FCD"/>
    <w:rsid w:val="00995F50"/>
    <w:rsid w:val="009A27D8"/>
    <w:rsid w:val="009A5CBD"/>
    <w:rsid w:val="009B242C"/>
    <w:rsid w:val="009B4C41"/>
    <w:rsid w:val="009B705C"/>
    <w:rsid w:val="009C06B8"/>
    <w:rsid w:val="009C0EC4"/>
    <w:rsid w:val="009C42DC"/>
    <w:rsid w:val="009C6C51"/>
    <w:rsid w:val="009D450B"/>
    <w:rsid w:val="009D61FD"/>
    <w:rsid w:val="009D6911"/>
    <w:rsid w:val="009E0671"/>
    <w:rsid w:val="009E3ED2"/>
    <w:rsid w:val="009F4C2A"/>
    <w:rsid w:val="009F59D2"/>
    <w:rsid w:val="00A0209D"/>
    <w:rsid w:val="00A03708"/>
    <w:rsid w:val="00A04424"/>
    <w:rsid w:val="00A13A8A"/>
    <w:rsid w:val="00A21271"/>
    <w:rsid w:val="00A230F0"/>
    <w:rsid w:val="00A245E9"/>
    <w:rsid w:val="00A25441"/>
    <w:rsid w:val="00A3684A"/>
    <w:rsid w:val="00A44CE1"/>
    <w:rsid w:val="00A509FB"/>
    <w:rsid w:val="00A528DF"/>
    <w:rsid w:val="00A579C1"/>
    <w:rsid w:val="00A61BA2"/>
    <w:rsid w:val="00A64073"/>
    <w:rsid w:val="00A727EC"/>
    <w:rsid w:val="00A739EB"/>
    <w:rsid w:val="00A74A88"/>
    <w:rsid w:val="00A7502C"/>
    <w:rsid w:val="00A812DE"/>
    <w:rsid w:val="00A94F80"/>
    <w:rsid w:val="00A96C1F"/>
    <w:rsid w:val="00AA137B"/>
    <w:rsid w:val="00AB4D97"/>
    <w:rsid w:val="00AD23E7"/>
    <w:rsid w:val="00AD5187"/>
    <w:rsid w:val="00AD773C"/>
    <w:rsid w:val="00AE6293"/>
    <w:rsid w:val="00B05570"/>
    <w:rsid w:val="00B05A9B"/>
    <w:rsid w:val="00B066F3"/>
    <w:rsid w:val="00B06C9E"/>
    <w:rsid w:val="00B101FA"/>
    <w:rsid w:val="00B10908"/>
    <w:rsid w:val="00B2410B"/>
    <w:rsid w:val="00B27E0F"/>
    <w:rsid w:val="00B3117E"/>
    <w:rsid w:val="00B331D5"/>
    <w:rsid w:val="00B34A33"/>
    <w:rsid w:val="00B3616B"/>
    <w:rsid w:val="00B41CD0"/>
    <w:rsid w:val="00B5539F"/>
    <w:rsid w:val="00B55CBD"/>
    <w:rsid w:val="00B56AEF"/>
    <w:rsid w:val="00B628A2"/>
    <w:rsid w:val="00B63535"/>
    <w:rsid w:val="00B64142"/>
    <w:rsid w:val="00B66015"/>
    <w:rsid w:val="00B82BF9"/>
    <w:rsid w:val="00B8374D"/>
    <w:rsid w:val="00BA1242"/>
    <w:rsid w:val="00BA2432"/>
    <w:rsid w:val="00BA413B"/>
    <w:rsid w:val="00BA56B7"/>
    <w:rsid w:val="00BA6640"/>
    <w:rsid w:val="00BB3385"/>
    <w:rsid w:val="00BB42B9"/>
    <w:rsid w:val="00BB4F70"/>
    <w:rsid w:val="00BB5B77"/>
    <w:rsid w:val="00BC55F4"/>
    <w:rsid w:val="00BD41A2"/>
    <w:rsid w:val="00BD7314"/>
    <w:rsid w:val="00BD73EA"/>
    <w:rsid w:val="00C02E2D"/>
    <w:rsid w:val="00C0359D"/>
    <w:rsid w:val="00C04985"/>
    <w:rsid w:val="00C1125A"/>
    <w:rsid w:val="00C11FA8"/>
    <w:rsid w:val="00C15CB8"/>
    <w:rsid w:val="00C16CE8"/>
    <w:rsid w:val="00C264E5"/>
    <w:rsid w:val="00C30E88"/>
    <w:rsid w:val="00C311F1"/>
    <w:rsid w:val="00C31C55"/>
    <w:rsid w:val="00C36C71"/>
    <w:rsid w:val="00C460F3"/>
    <w:rsid w:val="00C47B8C"/>
    <w:rsid w:val="00C55E89"/>
    <w:rsid w:val="00C70CAD"/>
    <w:rsid w:val="00C71B8D"/>
    <w:rsid w:val="00C74BA2"/>
    <w:rsid w:val="00C82AE2"/>
    <w:rsid w:val="00C9436C"/>
    <w:rsid w:val="00CB46E3"/>
    <w:rsid w:val="00CC1B17"/>
    <w:rsid w:val="00CC5B54"/>
    <w:rsid w:val="00CC5F3F"/>
    <w:rsid w:val="00CC7C20"/>
    <w:rsid w:val="00CD0787"/>
    <w:rsid w:val="00CD271E"/>
    <w:rsid w:val="00CE1066"/>
    <w:rsid w:val="00CE192F"/>
    <w:rsid w:val="00CE31FC"/>
    <w:rsid w:val="00D0458A"/>
    <w:rsid w:val="00D051DE"/>
    <w:rsid w:val="00D06DD5"/>
    <w:rsid w:val="00D1251C"/>
    <w:rsid w:val="00D1609C"/>
    <w:rsid w:val="00D171FF"/>
    <w:rsid w:val="00D174F9"/>
    <w:rsid w:val="00D23532"/>
    <w:rsid w:val="00D24885"/>
    <w:rsid w:val="00D256BE"/>
    <w:rsid w:val="00D3000E"/>
    <w:rsid w:val="00D31ACE"/>
    <w:rsid w:val="00D32042"/>
    <w:rsid w:val="00D32A4D"/>
    <w:rsid w:val="00D41C8D"/>
    <w:rsid w:val="00D504D1"/>
    <w:rsid w:val="00D5422C"/>
    <w:rsid w:val="00D56A4D"/>
    <w:rsid w:val="00D65C3A"/>
    <w:rsid w:val="00D66F32"/>
    <w:rsid w:val="00D7213D"/>
    <w:rsid w:val="00D72AAB"/>
    <w:rsid w:val="00D7397E"/>
    <w:rsid w:val="00D77F2C"/>
    <w:rsid w:val="00D85562"/>
    <w:rsid w:val="00D9024B"/>
    <w:rsid w:val="00D93885"/>
    <w:rsid w:val="00D94805"/>
    <w:rsid w:val="00D96A03"/>
    <w:rsid w:val="00DB58AB"/>
    <w:rsid w:val="00DD73F9"/>
    <w:rsid w:val="00DE01A5"/>
    <w:rsid w:val="00DE1F68"/>
    <w:rsid w:val="00DE50AE"/>
    <w:rsid w:val="00DE63A4"/>
    <w:rsid w:val="00DE7C69"/>
    <w:rsid w:val="00DF2F0B"/>
    <w:rsid w:val="00E0338D"/>
    <w:rsid w:val="00E04767"/>
    <w:rsid w:val="00E04EE8"/>
    <w:rsid w:val="00E06BA0"/>
    <w:rsid w:val="00E07782"/>
    <w:rsid w:val="00E10409"/>
    <w:rsid w:val="00E13CF8"/>
    <w:rsid w:val="00E27003"/>
    <w:rsid w:val="00E30D63"/>
    <w:rsid w:val="00E31938"/>
    <w:rsid w:val="00E31DAF"/>
    <w:rsid w:val="00E31E8C"/>
    <w:rsid w:val="00E34A8F"/>
    <w:rsid w:val="00E35E15"/>
    <w:rsid w:val="00E3797E"/>
    <w:rsid w:val="00E37B54"/>
    <w:rsid w:val="00E44C54"/>
    <w:rsid w:val="00E57C82"/>
    <w:rsid w:val="00E60973"/>
    <w:rsid w:val="00E71308"/>
    <w:rsid w:val="00E80993"/>
    <w:rsid w:val="00E92236"/>
    <w:rsid w:val="00E948D2"/>
    <w:rsid w:val="00E96235"/>
    <w:rsid w:val="00EA3075"/>
    <w:rsid w:val="00EB3129"/>
    <w:rsid w:val="00EB62CA"/>
    <w:rsid w:val="00EB65E8"/>
    <w:rsid w:val="00EC290E"/>
    <w:rsid w:val="00EE1767"/>
    <w:rsid w:val="00EE2800"/>
    <w:rsid w:val="00EF164D"/>
    <w:rsid w:val="00F07732"/>
    <w:rsid w:val="00F10007"/>
    <w:rsid w:val="00F1385D"/>
    <w:rsid w:val="00F22CD7"/>
    <w:rsid w:val="00F23B26"/>
    <w:rsid w:val="00F31184"/>
    <w:rsid w:val="00F344E6"/>
    <w:rsid w:val="00F37FD2"/>
    <w:rsid w:val="00F50664"/>
    <w:rsid w:val="00F523CD"/>
    <w:rsid w:val="00F5457D"/>
    <w:rsid w:val="00F54EDB"/>
    <w:rsid w:val="00F5557B"/>
    <w:rsid w:val="00F601AC"/>
    <w:rsid w:val="00F6032E"/>
    <w:rsid w:val="00F650B0"/>
    <w:rsid w:val="00F664AA"/>
    <w:rsid w:val="00F75EC2"/>
    <w:rsid w:val="00F770C5"/>
    <w:rsid w:val="00F93BC2"/>
    <w:rsid w:val="00F940FB"/>
    <w:rsid w:val="00F95185"/>
    <w:rsid w:val="00F96765"/>
    <w:rsid w:val="00F9737D"/>
    <w:rsid w:val="00FA5A65"/>
    <w:rsid w:val="00FB006A"/>
    <w:rsid w:val="00FB1FB7"/>
    <w:rsid w:val="00FB292D"/>
    <w:rsid w:val="00FB4877"/>
    <w:rsid w:val="00FB4E0C"/>
    <w:rsid w:val="00FB639E"/>
    <w:rsid w:val="00FC792B"/>
    <w:rsid w:val="00FD0523"/>
    <w:rsid w:val="00FD2E75"/>
    <w:rsid w:val="00FD56E8"/>
    <w:rsid w:val="00FD71F9"/>
    <w:rsid w:val="00FD7CC7"/>
    <w:rsid w:val="00FE40E0"/>
    <w:rsid w:val="00FE5595"/>
    <w:rsid w:val="00FE7C7D"/>
    <w:rsid w:val="00FF0A40"/>
    <w:rsid w:val="00FF1011"/>
    <w:rsid w:val="00FF27CA"/>
    <w:rsid w:val="00FF3123"/>
    <w:rsid w:val="00FF3DBF"/>
    <w:rsid w:val="00FF701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63"/>
    <w:rPr>
      <w:rFonts w:ascii="Times New Roman" w:eastAsia="Times New Roman" w:hAnsi="Times New Roman" w:cs="Times New Roman"/>
    </w:rPr>
  </w:style>
  <w:style w:type="paragraph" w:styleId="Heading1">
    <w:name w:val="heading 1"/>
    <w:basedOn w:val="Normal"/>
    <w:link w:val="Heading1Char"/>
    <w:qFormat/>
    <w:rsid w:val="00E06BA0"/>
    <w:pPr>
      <w:spacing w:before="100" w:beforeAutospacing="1" w:after="100" w:afterAutospacing="1"/>
      <w:outlineLvl w:val="0"/>
    </w:pPr>
    <w:rPr>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C55F4"/>
    <w:rPr>
      <w:rFonts w:ascii="Lucida Grande" w:hAnsi="Lucida Grande"/>
      <w:sz w:val="18"/>
      <w:szCs w:val="18"/>
    </w:rPr>
  </w:style>
  <w:style w:type="character" w:customStyle="1" w:styleId="BalloonTextChar">
    <w:name w:val="Balloon Text Char"/>
    <w:basedOn w:val="DefaultParagraphFont"/>
    <w:link w:val="BalloonText"/>
    <w:uiPriority w:val="99"/>
    <w:semiHidden/>
    <w:rsid w:val="005C01AC"/>
    <w:rPr>
      <w:rFonts w:ascii="Lucida Grande" w:hAnsi="Lucida Grande"/>
      <w:sz w:val="18"/>
      <w:szCs w:val="18"/>
    </w:rPr>
  </w:style>
  <w:style w:type="character" w:customStyle="1" w:styleId="BalloonTextChar0">
    <w:name w:val="Balloon Text Char"/>
    <w:basedOn w:val="DefaultParagraphFont"/>
    <w:link w:val="BalloonText"/>
    <w:uiPriority w:val="99"/>
    <w:semiHidden/>
    <w:rsid w:val="00FC6FA4"/>
    <w:rPr>
      <w:rFonts w:ascii="Lucida Grande" w:hAnsi="Lucida Grande"/>
      <w:sz w:val="18"/>
      <w:szCs w:val="18"/>
    </w:rPr>
  </w:style>
  <w:style w:type="character" w:customStyle="1" w:styleId="BalloonTextChar2">
    <w:name w:val="Balloon Text Char"/>
    <w:basedOn w:val="DefaultParagraphFont"/>
    <w:link w:val="BalloonText"/>
    <w:uiPriority w:val="99"/>
    <w:semiHidden/>
    <w:rsid w:val="009501C3"/>
    <w:rPr>
      <w:rFonts w:ascii="Lucida Grande" w:hAnsi="Lucida Grande"/>
      <w:sz w:val="18"/>
      <w:szCs w:val="18"/>
    </w:rPr>
  </w:style>
  <w:style w:type="character" w:customStyle="1" w:styleId="BalloonTextChar3">
    <w:name w:val="Balloon Text Char"/>
    <w:basedOn w:val="DefaultParagraphFont"/>
    <w:link w:val="BalloonText"/>
    <w:uiPriority w:val="99"/>
    <w:semiHidden/>
    <w:rsid w:val="009D1909"/>
    <w:rPr>
      <w:rFonts w:ascii="Lucida Grande" w:hAnsi="Lucida Grande"/>
      <w:sz w:val="18"/>
      <w:szCs w:val="18"/>
    </w:rPr>
  </w:style>
  <w:style w:type="character" w:customStyle="1" w:styleId="BalloonTextChar4">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5">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6">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7">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8">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9">
    <w:name w:val="Balloon Text Char"/>
    <w:basedOn w:val="DefaultParagraphFont"/>
    <w:link w:val="BalloonText"/>
    <w:uiPriority w:val="99"/>
    <w:semiHidden/>
    <w:rsid w:val="002E20FE"/>
    <w:rPr>
      <w:rFonts w:ascii="Lucida Grande" w:hAnsi="Lucida Grande"/>
      <w:sz w:val="18"/>
      <w:szCs w:val="18"/>
    </w:rPr>
  </w:style>
  <w:style w:type="paragraph" w:styleId="EndnoteText">
    <w:name w:val="endnote text"/>
    <w:aliases w:val=" Char"/>
    <w:basedOn w:val="Normal"/>
    <w:link w:val="EndnoteTextChar"/>
    <w:semiHidden/>
    <w:rsid w:val="00940863"/>
    <w:rPr>
      <w:sz w:val="20"/>
      <w:szCs w:val="20"/>
    </w:rPr>
  </w:style>
  <w:style w:type="character" w:customStyle="1" w:styleId="EndnoteTextChar">
    <w:name w:val="Endnote Text Char"/>
    <w:aliases w:val=" Char Char"/>
    <w:basedOn w:val="DefaultParagraphFont"/>
    <w:link w:val="EndnoteText"/>
    <w:semiHidden/>
    <w:rsid w:val="00940863"/>
    <w:rPr>
      <w:rFonts w:ascii="Times New Roman" w:eastAsia="Times New Roman" w:hAnsi="Times New Roman" w:cs="Times New Roman"/>
      <w:sz w:val="20"/>
      <w:szCs w:val="20"/>
    </w:rPr>
  </w:style>
  <w:style w:type="character" w:styleId="EndnoteReference">
    <w:name w:val="endnote reference"/>
    <w:basedOn w:val="DefaultParagraphFont"/>
    <w:semiHidden/>
    <w:rsid w:val="00940863"/>
    <w:rPr>
      <w:vertAlign w:val="superscript"/>
    </w:rPr>
  </w:style>
  <w:style w:type="paragraph" w:styleId="NormalWeb">
    <w:name w:val="Normal (Web)"/>
    <w:basedOn w:val="Normal"/>
    <w:rsid w:val="004325F5"/>
    <w:pPr>
      <w:spacing w:before="100" w:beforeAutospacing="1" w:after="100" w:afterAutospacing="1"/>
    </w:pPr>
  </w:style>
  <w:style w:type="character" w:styleId="Hyperlink">
    <w:name w:val="Hyperlink"/>
    <w:basedOn w:val="DefaultParagraphFont"/>
    <w:rsid w:val="004325F5"/>
    <w:rPr>
      <w:color w:val="0000FF"/>
      <w:u w:val="single"/>
    </w:rPr>
  </w:style>
  <w:style w:type="character" w:styleId="HTMLCite">
    <w:name w:val="HTML Cite"/>
    <w:basedOn w:val="DefaultParagraphFont"/>
    <w:rsid w:val="004325F5"/>
    <w:rPr>
      <w:i/>
      <w:iCs/>
    </w:rPr>
  </w:style>
  <w:style w:type="paragraph" w:styleId="ListBullet">
    <w:name w:val="List Bullet"/>
    <w:basedOn w:val="Normal"/>
    <w:autoRedefine/>
    <w:rsid w:val="004325F5"/>
    <w:pPr>
      <w:numPr>
        <w:numId w:val="1"/>
      </w:numPr>
    </w:pPr>
  </w:style>
  <w:style w:type="paragraph" w:styleId="ListParagraph">
    <w:name w:val="List Paragraph"/>
    <w:basedOn w:val="Normal"/>
    <w:uiPriority w:val="34"/>
    <w:qFormat/>
    <w:rsid w:val="00BB4F70"/>
    <w:pPr>
      <w:ind w:left="720"/>
      <w:contextualSpacing/>
    </w:pPr>
  </w:style>
  <w:style w:type="character" w:customStyle="1" w:styleId="Heading1Char">
    <w:name w:val="Heading 1 Char"/>
    <w:basedOn w:val="DefaultParagraphFont"/>
    <w:link w:val="Heading1"/>
    <w:rsid w:val="00E06BA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C55F4"/>
    <w:rPr>
      <w:sz w:val="18"/>
      <w:szCs w:val="18"/>
    </w:rPr>
  </w:style>
  <w:style w:type="paragraph" w:styleId="CommentText">
    <w:name w:val="annotation text"/>
    <w:basedOn w:val="Normal"/>
    <w:link w:val="CommentTextChar"/>
    <w:uiPriority w:val="99"/>
    <w:semiHidden/>
    <w:unhideWhenUsed/>
    <w:rsid w:val="00BC55F4"/>
  </w:style>
  <w:style w:type="character" w:customStyle="1" w:styleId="CommentTextChar">
    <w:name w:val="Comment Text Char"/>
    <w:basedOn w:val="DefaultParagraphFont"/>
    <w:link w:val="CommentText"/>
    <w:uiPriority w:val="99"/>
    <w:semiHidden/>
    <w:rsid w:val="00BC55F4"/>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semiHidden/>
    <w:rsid w:val="00BC55F4"/>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B05570"/>
    <w:rPr>
      <w:b/>
      <w:bCs/>
      <w:sz w:val="20"/>
      <w:szCs w:val="20"/>
    </w:rPr>
  </w:style>
  <w:style w:type="character" w:customStyle="1" w:styleId="CommentSubjectChar">
    <w:name w:val="Comment Subject Char"/>
    <w:basedOn w:val="CommentTextChar"/>
    <w:link w:val="CommentSubject"/>
    <w:uiPriority w:val="99"/>
    <w:semiHidden/>
    <w:rsid w:val="00B05570"/>
    <w:rPr>
      <w:b/>
      <w:bCs/>
      <w:sz w:val="20"/>
      <w:szCs w:val="20"/>
    </w:rPr>
  </w:style>
  <w:style w:type="paragraph" w:styleId="Footer">
    <w:name w:val="footer"/>
    <w:basedOn w:val="Normal"/>
    <w:link w:val="FooterChar"/>
    <w:uiPriority w:val="99"/>
    <w:semiHidden/>
    <w:unhideWhenUsed/>
    <w:rsid w:val="005E2D4B"/>
    <w:pPr>
      <w:tabs>
        <w:tab w:val="center" w:pos="4320"/>
        <w:tab w:val="right" w:pos="8640"/>
      </w:tabs>
    </w:pPr>
  </w:style>
  <w:style w:type="character" w:customStyle="1" w:styleId="FooterChar">
    <w:name w:val="Footer Char"/>
    <w:basedOn w:val="DefaultParagraphFont"/>
    <w:link w:val="Footer"/>
    <w:uiPriority w:val="99"/>
    <w:semiHidden/>
    <w:rsid w:val="005E2D4B"/>
    <w:rPr>
      <w:rFonts w:ascii="Times New Roman" w:eastAsia="Times New Roman" w:hAnsi="Times New Roman" w:cs="Times New Roman"/>
    </w:rPr>
  </w:style>
  <w:style w:type="character" w:styleId="PageNumber">
    <w:name w:val="page number"/>
    <w:basedOn w:val="DefaultParagraphFont"/>
    <w:uiPriority w:val="99"/>
    <w:semiHidden/>
    <w:unhideWhenUsed/>
    <w:rsid w:val="005E2D4B"/>
  </w:style>
  <w:style w:type="paragraph" w:styleId="Header">
    <w:name w:val="header"/>
    <w:basedOn w:val="Normal"/>
    <w:link w:val="HeaderChar"/>
    <w:uiPriority w:val="99"/>
    <w:semiHidden/>
    <w:unhideWhenUsed/>
    <w:rsid w:val="00F344E6"/>
    <w:pPr>
      <w:tabs>
        <w:tab w:val="center" w:pos="4320"/>
        <w:tab w:val="right" w:pos="8640"/>
      </w:tabs>
    </w:pPr>
  </w:style>
  <w:style w:type="character" w:customStyle="1" w:styleId="HeaderChar">
    <w:name w:val="Header Char"/>
    <w:basedOn w:val="DefaultParagraphFont"/>
    <w:link w:val="Header"/>
    <w:uiPriority w:val="99"/>
    <w:semiHidden/>
    <w:rsid w:val="00F344E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bsu.edu/libraries/wmr/" TargetMode="External"/><Relationship Id="rId2" Type="http://schemas.openxmlformats.org/officeDocument/2006/relationships/hyperlink" Target="http://www.bsu.edu/libraries/w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28</Pages>
  <Words>5889</Words>
  <Characters>33571</Characters>
  <Application>Microsoft Macintosh Word</Application>
  <DocSecurity>0</DocSecurity>
  <Lines>279</Lines>
  <Paragraphs>67</Paragraphs>
  <ScaleCrop>false</ScaleCrop>
  <Company>Washington University</Company>
  <LinksUpToDate>false</LinksUpToDate>
  <CharactersWithSpaces>41227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11</cp:revision>
  <cp:lastPrinted>2012-05-16T16:00:00Z</cp:lastPrinted>
  <dcterms:created xsi:type="dcterms:W3CDTF">2012-06-11T18:49:00Z</dcterms:created>
  <dcterms:modified xsi:type="dcterms:W3CDTF">2012-06-12T03:31:00Z</dcterms:modified>
</cp:coreProperties>
</file>